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40FC6" w14:textId="613AD369" w:rsidR="008E7412" w:rsidRPr="007A035A" w:rsidRDefault="008E7412" w:rsidP="007A035A">
      <w:pPr>
        <w:pStyle w:val="NormalWeb"/>
        <w:spacing w:before="0" w:beforeAutospacing="0" w:after="0" w:afterAutospacing="0" w:line="480" w:lineRule="auto"/>
        <w:jc w:val="both"/>
        <w:rPr>
          <w:rStyle w:val="Strong"/>
          <w:rFonts w:asciiTheme="majorBidi" w:hAnsiTheme="majorBidi" w:cstheme="majorBidi"/>
        </w:rPr>
      </w:pPr>
      <w:r w:rsidRPr="007A035A">
        <w:rPr>
          <w:rStyle w:val="Strong"/>
          <w:rFonts w:asciiTheme="majorBidi" w:hAnsiTheme="majorBidi" w:cstheme="majorBidi"/>
        </w:rPr>
        <w:t xml:space="preserve">A Comparative Study of Community Health Practice in Communities with Adequate and Limited Health Workforce: A Case Study of Doka and </w:t>
      </w:r>
      <w:proofErr w:type="spellStart"/>
      <w:r w:rsidRPr="007A035A">
        <w:rPr>
          <w:rStyle w:val="Strong"/>
          <w:rFonts w:asciiTheme="majorBidi" w:hAnsiTheme="majorBidi" w:cstheme="majorBidi"/>
        </w:rPr>
        <w:t>Kadana</w:t>
      </w:r>
      <w:proofErr w:type="spellEnd"/>
      <w:r w:rsidRPr="007A035A">
        <w:rPr>
          <w:rStyle w:val="Strong"/>
          <w:rFonts w:asciiTheme="majorBidi" w:hAnsiTheme="majorBidi" w:cstheme="majorBidi"/>
        </w:rPr>
        <w:t xml:space="preserve"> Communities in </w:t>
      </w:r>
      <w:proofErr w:type="spellStart"/>
      <w:r w:rsidRPr="007A035A">
        <w:rPr>
          <w:rStyle w:val="Strong"/>
          <w:rFonts w:asciiTheme="majorBidi" w:hAnsiTheme="majorBidi" w:cstheme="majorBidi"/>
        </w:rPr>
        <w:t>Tofa</w:t>
      </w:r>
      <w:proofErr w:type="spellEnd"/>
      <w:r w:rsidRPr="007A035A">
        <w:rPr>
          <w:rStyle w:val="Strong"/>
          <w:rFonts w:asciiTheme="majorBidi" w:hAnsiTheme="majorBidi" w:cstheme="majorBidi"/>
        </w:rPr>
        <w:t xml:space="preserve"> Local Government Area, Kano State, Nigeria</w:t>
      </w:r>
    </w:p>
    <w:p w14:paraId="28CD538A" w14:textId="680A9A4A" w:rsidR="00343D88" w:rsidRPr="007A035A" w:rsidRDefault="00343D88" w:rsidP="007A035A">
      <w:pPr>
        <w:pStyle w:val="NormalWeb"/>
        <w:spacing w:before="0" w:beforeAutospacing="0" w:after="0" w:afterAutospacing="0" w:line="480" w:lineRule="auto"/>
        <w:jc w:val="both"/>
        <w:rPr>
          <w:rStyle w:val="Strong"/>
          <w:rFonts w:asciiTheme="majorBidi" w:hAnsiTheme="majorBidi" w:cstheme="majorBidi"/>
        </w:rPr>
      </w:pPr>
    </w:p>
    <w:p w14:paraId="79CDFBD2" w14:textId="6E42998D" w:rsidR="00343D88" w:rsidRPr="007A035A" w:rsidRDefault="00343D88" w:rsidP="007A035A">
      <w:pPr>
        <w:pStyle w:val="NormalWeb"/>
        <w:spacing w:before="0" w:beforeAutospacing="0" w:after="0" w:afterAutospacing="0" w:line="480" w:lineRule="auto"/>
        <w:jc w:val="both"/>
        <w:rPr>
          <w:rStyle w:val="Strong"/>
          <w:rFonts w:asciiTheme="majorBidi" w:hAnsiTheme="majorBidi" w:cstheme="majorBidi"/>
        </w:rPr>
      </w:pPr>
    </w:p>
    <w:p w14:paraId="0F28E107" w14:textId="77777777" w:rsidR="00343D88" w:rsidRPr="007A035A" w:rsidRDefault="00343D88" w:rsidP="007A035A">
      <w:pPr>
        <w:pStyle w:val="Heading4"/>
        <w:spacing w:before="0" w:line="480" w:lineRule="auto"/>
        <w:jc w:val="both"/>
        <w:rPr>
          <w:rFonts w:asciiTheme="majorBidi" w:hAnsiTheme="majorBidi"/>
          <w:color w:val="auto"/>
          <w:sz w:val="24"/>
          <w:szCs w:val="24"/>
        </w:rPr>
      </w:pPr>
      <w:r w:rsidRPr="007A035A">
        <w:rPr>
          <w:rFonts w:asciiTheme="majorBidi" w:hAnsiTheme="majorBidi"/>
          <w:color w:val="auto"/>
          <w:sz w:val="24"/>
          <w:szCs w:val="24"/>
        </w:rPr>
        <w:t>General Objective</w:t>
      </w:r>
    </w:p>
    <w:p w14:paraId="2E4D7467" w14:textId="77777777" w:rsidR="00343D88" w:rsidRPr="00650BB2" w:rsidRDefault="00343D88" w:rsidP="007A035A">
      <w:pPr>
        <w:pStyle w:val="NormalWeb"/>
        <w:spacing w:before="0" w:beforeAutospacing="0" w:after="0" w:afterAutospacing="0" w:line="480" w:lineRule="auto"/>
        <w:jc w:val="both"/>
        <w:rPr>
          <w:rFonts w:asciiTheme="majorBidi" w:hAnsiTheme="majorBidi" w:cstheme="majorBidi"/>
        </w:rPr>
      </w:pPr>
      <w:r w:rsidRPr="00650BB2">
        <w:rPr>
          <w:rFonts w:asciiTheme="majorBidi" w:hAnsiTheme="majorBidi" w:cstheme="majorBidi"/>
        </w:rPr>
        <w:t xml:space="preserve">To compare community health practices in communities with adequate and limited health workforce in Doka and </w:t>
      </w:r>
      <w:proofErr w:type="spellStart"/>
      <w:r w:rsidRPr="00650BB2">
        <w:rPr>
          <w:rFonts w:asciiTheme="majorBidi" w:hAnsiTheme="majorBidi" w:cstheme="majorBidi"/>
        </w:rPr>
        <w:t>Kadana</w:t>
      </w:r>
      <w:proofErr w:type="spellEnd"/>
      <w:r w:rsidRPr="00650BB2">
        <w:rPr>
          <w:rFonts w:asciiTheme="majorBidi" w:hAnsiTheme="majorBidi" w:cstheme="majorBidi"/>
        </w:rPr>
        <w:t xml:space="preserve"> communities of </w:t>
      </w:r>
      <w:proofErr w:type="spellStart"/>
      <w:r w:rsidRPr="00650BB2">
        <w:rPr>
          <w:rFonts w:asciiTheme="majorBidi" w:hAnsiTheme="majorBidi" w:cstheme="majorBidi"/>
        </w:rPr>
        <w:t>Tofa</w:t>
      </w:r>
      <w:proofErr w:type="spellEnd"/>
      <w:r w:rsidRPr="00650BB2">
        <w:rPr>
          <w:rFonts w:asciiTheme="majorBidi" w:hAnsiTheme="majorBidi" w:cstheme="majorBidi"/>
        </w:rPr>
        <w:t xml:space="preserve"> Local Government Area, Kano State.</w:t>
      </w:r>
    </w:p>
    <w:p w14:paraId="6C77695C" w14:textId="77777777" w:rsidR="00343D88" w:rsidRPr="00650BB2" w:rsidRDefault="00343D88" w:rsidP="007A035A">
      <w:pPr>
        <w:pStyle w:val="Heading4"/>
        <w:spacing w:before="0" w:line="480" w:lineRule="auto"/>
        <w:jc w:val="both"/>
        <w:rPr>
          <w:rFonts w:asciiTheme="majorBidi" w:hAnsiTheme="majorBidi"/>
          <w:color w:val="auto"/>
          <w:sz w:val="24"/>
          <w:szCs w:val="24"/>
        </w:rPr>
      </w:pPr>
      <w:r w:rsidRPr="00650BB2">
        <w:rPr>
          <w:rFonts w:asciiTheme="majorBidi" w:hAnsiTheme="majorBidi"/>
          <w:color w:val="auto"/>
          <w:sz w:val="24"/>
          <w:szCs w:val="24"/>
        </w:rPr>
        <w:t>Specific Objectives</w:t>
      </w:r>
    </w:p>
    <w:p w14:paraId="3C11D560" w14:textId="77777777" w:rsidR="00343D88" w:rsidRPr="00650BB2" w:rsidRDefault="00343D88" w:rsidP="007A035A">
      <w:pPr>
        <w:pStyle w:val="NormalWeb"/>
        <w:numPr>
          <w:ilvl w:val="0"/>
          <w:numId w:val="6"/>
        </w:numPr>
        <w:spacing w:before="0" w:beforeAutospacing="0" w:after="0" w:afterAutospacing="0" w:line="480" w:lineRule="auto"/>
        <w:jc w:val="both"/>
        <w:rPr>
          <w:rFonts w:asciiTheme="majorBidi" w:hAnsiTheme="majorBidi" w:cstheme="majorBidi"/>
        </w:rPr>
      </w:pPr>
      <w:r w:rsidRPr="00650BB2">
        <w:rPr>
          <w:rStyle w:val="Strong"/>
          <w:rFonts w:asciiTheme="majorBidi" w:hAnsiTheme="majorBidi" w:cstheme="majorBidi"/>
          <w:b w:val="0"/>
          <w:bCs w:val="0"/>
        </w:rPr>
        <w:t xml:space="preserve">To determine the availability of health workforce in Doka and </w:t>
      </w:r>
      <w:proofErr w:type="spellStart"/>
      <w:r w:rsidRPr="00650BB2">
        <w:rPr>
          <w:rStyle w:val="Strong"/>
          <w:rFonts w:asciiTheme="majorBidi" w:hAnsiTheme="majorBidi" w:cstheme="majorBidi"/>
          <w:b w:val="0"/>
          <w:bCs w:val="0"/>
        </w:rPr>
        <w:t>Kadana</w:t>
      </w:r>
      <w:proofErr w:type="spellEnd"/>
      <w:r w:rsidRPr="00650BB2">
        <w:rPr>
          <w:rStyle w:val="Strong"/>
          <w:rFonts w:asciiTheme="majorBidi" w:hAnsiTheme="majorBidi" w:cstheme="majorBidi"/>
          <w:b w:val="0"/>
          <w:bCs w:val="0"/>
        </w:rPr>
        <w:t xml:space="preserve"> communities.</w:t>
      </w:r>
    </w:p>
    <w:p w14:paraId="13338D88" w14:textId="77777777" w:rsidR="00343D88" w:rsidRPr="00650BB2" w:rsidRDefault="00343D88" w:rsidP="007A035A">
      <w:pPr>
        <w:pStyle w:val="NormalWeb"/>
        <w:numPr>
          <w:ilvl w:val="0"/>
          <w:numId w:val="6"/>
        </w:numPr>
        <w:spacing w:before="0" w:beforeAutospacing="0" w:after="0" w:afterAutospacing="0" w:line="480" w:lineRule="auto"/>
        <w:jc w:val="both"/>
        <w:rPr>
          <w:rFonts w:asciiTheme="majorBidi" w:hAnsiTheme="majorBidi" w:cstheme="majorBidi"/>
        </w:rPr>
      </w:pPr>
      <w:r w:rsidRPr="00650BB2">
        <w:rPr>
          <w:rStyle w:val="Strong"/>
          <w:rFonts w:asciiTheme="majorBidi" w:hAnsiTheme="majorBidi" w:cstheme="majorBidi"/>
          <w:b w:val="0"/>
          <w:bCs w:val="0"/>
        </w:rPr>
        <w:t xml:space="preserve">To assess the level of community health practices among residents of Doka and </w:t>
      </w:r>
      <w:proofErr w:type="spellStart"/>
      <w:r w:rsidRPr="00650BB2">
        <w:rPr>
          <w:rStyle w:val="Strong"/>
          <w:rFonts w:asciiTheme="majorBidi" w:hAnsiTheme="majorBidi" w:cstheme="majorBidi"/>
          <w:b w:val="0"/>
          <w:bCs w:val="0"/>
        </w:rPr>
        <w:t>Kadana</w:t>
      </w:r>
      <w:proofErr w:type="spellEnd"/>
      <w:r w:rsidRPr="00650BB2">
        <w:rPr>
          <w:rStyle w:val="Strong"/>
          <w:rFonts w:asciiTheme="majorBidi" w:hAnsiTheme="majorBidi" w:cstheme="majorBidi"/>
          <w:b w:val="0"/>
          <w:bCs w:val="0"/>
        </w:rPr>
        <w:t xml:space="preserve"> communities.</w:t>
      </w:r>
    </w:p>
    <w:p w14:paraId="3BC96316" w14:textId="77777777" w:rsidR="00343D88" w:rsidRPr="00650BB2" w:rsidRDefault="00343D88" w:rsidP="007A035A">
      <w:pPr>
        <w:pStyle w:val="NormalWeb"/>
        <w:numPr>
          <w:ilvl w:val="0"/>
          <w:numId w:val="6"/>
        </w:numPr>
        <w:spacing w:before="0" w:beforeAutospacing="0" w:after="0" w:afterAutospacing="0" w:line="480" w:lineRule="auto"/>
        <w:jc w:val="both"/>
        <w:rPr>
          <w:rFonts w:asciiTheme="majorBidi" w:hAnsiTheme="majorBidi" w:cstheme="majorBidi"/>
        </w:rPr>
      </w:pPr>
      <w:r w:rsidRPr="00650BB2">
        <w:rPr>
          <w:rStyle w:val="Strong"/>
          <w:rFonts w:asciiTheme="majorBidi" w:hAnsiTheme="majorBidi" w:cstheme="majorBidi"/>
          <w:b w:val="0"/>
          <w:bCs w:val="0"/>
        </w:rPr>
        <w:t xml:space="preserve">To compare the utilization of community health services among residents of Doka and </w:t>
      </w:r>
      <w:proofErr w:type="spellStart"/>
      <w:r w:rsidRPr="00650BB2">
        <w:rPr>
          <w:rStyle w:val="Strong"/>
          <w:rFonts w:asciiTheme="majorBidi" w:hAnsiTheme="majorBidi" w:cstheme="majorBidi"/>
          <w:b w:val="0"/>
          <w:bCs w:val="0"/>
        </w:rPr>
        <w:t>Kadana</w:t>
      </w:r>
      <w:proofErr w:type="spellEnd"/>
      <w:r w:rsidRPr="00650BB2">
        <w:rPr>
          <w:rStyle w:val="Strong"/>
          <w:rFonts w:asciiTheme="majorBidi" w:hAnsiTheme="majorBidi" w:cstheme="majorBidi"/>
          <w:b w:val="0"/>
          <w:bCs w:val="0"/>
        </w:rPr>
        <w:t xml:space="preserve"> communities.</w:t>
      </w:r>
    </w:p>
    <w:p w14:paraId="37EB242D" w14:textId="77777777" w:rsidR="00343D88" w:rsidRPr="00650BB2" w:rsidRDefault="00343D88" w:rsidP="007A035A">
      <w:pPr>
        <w:pStyle w:val="NormalWeb"/>
        <w:numPr>
          <w:ilvl w:val="0"/>
          <w:numId w:val="6"/>
        </w:numPr>
        <w:spacing w:before="0" w:beforeAutospacing="0" w:after="0" w:afterAutospacing="0" w:line="480" w:lineRule="auto"/>
        <w:jc w:val="both"/>
        <w:rPr>
          <w:rFonts w:asciiTheme="majorBidi" w:hAnsiTheme="majorBidi" w:cstheme="majorBidi"/>
        </w:rPr>
      </w:pPr>
      <w:r w:rsidRPr="00650BB2">
        <w:rPr>
          <w:rStyle w:val="Strong"/>
          <w:rFonts w:asciiTheme="majorBidi" w:hAnsiTheme="majorBidi" w:cstheme="majorBidi"/>
          <w:b w:val="0"/>
          <w:bCs w:val="0"/>
        </w:rPr>
        <w:t xml:space="preserve">To examine the influence of health workforce availability on community health practices in Doka and </w:t>
      </w:r>
      <w:proofErr w:type="spellStart"/>
      <w:r w:rsidRPr="00650BB2">
        <w:rPr>
          <w:rStyle w:val="Strong"/>
          <w:rFonts w:asciiTheme="majorBidi" w:hAnsiTheme="majorBidi" w:cstheme="majorBidi"/>
          <w:b w:val="0"/>
          <w:bCs w:val="0"/>
        </w:rPr>
        <w:t>Kadana</w:t>
      </w:r>
      <w:proofErr w:type="spellEnd"/>
      <w:r w:rsidRPr="00650BB2">
        <w:rPr>
          <w:rStyle w:val="Strong"/>
          <w:rFonts w:asciiTheme="majorBidi" w:hAnsiTheme="majorBidi" w:cstheme="majorBidi"/>
          <w:b w:val="0"/>
          <w:bCs w:val="0"/>
        </w:rPr>
        <w:t xml:space="preserve"> communities.</w:t>
      </w:r>
    </w:p>
    <w:p w14:paraId="6ECD06F5" w14:textId="77777777" w:rsidR="0059581B" w:rsidRPr="00650BB2" w:rsidRDefault="0059581B" w:rsidP="007A035A">
      <w:pPr>
        <w:pStyle w:val="NormalWeb"/>
        <w:spacing w:before="0" w:beforeAutospacing="0" w:after="0" w:afterAutospacing="0" w:line="480" w:lineRule="auto"/>
        <w:jc w:val="both"/>
        <w:rPr>
          <w:rFonts w:asciiTheme="majorBidi" w:hAnsiTheme="majorBidi" w:cstheme="majorBidi"/>
        </w:rPr>
      </w:pPr>
      <w:r w:rsidRPr="00650BB2">
        <w:rPr>
          <w:rFonts w:asciiTheme="majorBidi" w:hAnsiTheme="majorBidi" w:cstheme="majorBidi"/>
        </w:rPr>
        <w:t>Based on the revised objectives, the most appropriate research questions are:</w:t>
      </w:r>
    </w:p>
    <w:p w14:paraId="4A90E08F" w14:textId="77777777" w:rsidR="0059581B" w:rsidRPr="00650BB2" w:rsidRDefault="0059581B" w:rsidP="007A035A">
      <w:pPr>
        <w:pStyle w:val="Heading3"/>
        <w:spacing w:before="0" w:line="480" w:lineRule="auto"/>
        <w:jc w:val="both"/>
        <w:rPr>
          <w:rFonts w:asciiTheme="majorBidi" w:hAnsiTheme="majorBidi"/>
          <w:color w:val="auto"/>
        </w:rPr>
      </w:pPr>
      <w:r w:rsidRPr="00650BB2">
        <w:rPr>
          <w:rFonts w:asciiTheme="majorBidi" w:hAnsiTheme="majorBidi"/>
          <w:color w:val="auto"/>
        </w:rPr>
        <w:t>Research Questions</w:t>
      </w:r>
    </w:p>
    <w:p w14:paraId="707B679D" w14:textId="77777777" w:rsidR="0059581B" w:rsidRPr="00650BB2" w:rsidRDefault="0059581B" w:rsidP="007A035A">
      <w:pPr>
        <w:pStyle w:val="ListParagraph"/>
        <w:numPr>
          <w:ilvl w:val="0"/>
          <w:numId w:val="10"/>
        </w:numPr>
        <w:spacing w:after="0" w:line="480" w:lineRule="auto"/>
        <w:jc w:val="both"/>
        <w:rPr>
          <w:rFonts w:asciiTheme="majorBidi" w:eastAsia="Times New Roman" w:hAnsiTheme="majorBidi" w:cstheme="majorBidi"/>
          <w:sz w:val="24"/>
          <w:szCs w:val="24"/>
          <w:lang w:eastAsia="en-VG"/>
        </w:rPr>
      </w:pPr>
      <w:r w:rsidRPr="00650BB2">
        <w:rPr>
          <w:rFonts w:asciiTheme="majorBidi" w:eastAsia="Times New Roman" w:hAnsiTheme="majorBidi" w:cstheme="majorBidi"/>
          <w:sz w:val="24"/>
          <w:szCs w:val="24"/>
          <w:lang w:eastAsia="en-VG"/>
        </w:rPr>
        <w:t xml:space="preserve">What is the availability of health workforce in Doka and </w:t>
      </w:r>
      <w:proofErr w:type="spellStart"/>
      <w:r w:rsidRPr="00650BB2">
        <w:rPr>
          <w:rFonts w:asciiTheme="majorBidi" w:eastAsia="Times New Roman" w:hAnsiTheme="majorBidi" w:cstheme="majorBidi"/>
          <w:sz w:val="24"/>
          <w:szCs w:val="24"/>
          <w:lang w:eastAsia="en-VG"/>
        </w:rPr>
        <w:t>Kadana</w:t>
      </w:r>
      <w:proofErr w:type="spellEnd"/>
      <w:r w:rsidRPr="00650BB2">
        <w:rPr>
          <w:rFonts w:asciiTheme="majorBidi" w:eastAsia="Times New Roman" w:hAnsiTheme="majorBidi" w:cstheme="majorBidi"/>
          <w:sz w:val="24"/>
          <w:szCs w:val="24"/>
          <w:lang w:eastAsia="en-VG"/>
        </w:rPr>
        <w:t xml:space="preserve"> communities of </w:t>
      </w:r>
      <w:proofErr w:type="spellStart"/>
      <w:r w:rsidRPr="00650BB2">
        <w:rPr>
          <w:rFonts w:asciiTheme="majorBidi" w:eastAsia="Times New Roman" w:hAnsiTheme="majorBidi" w:cstheme="majorBidi"/>
          <w:sz w:val="24"/>
          <w:szCs w:val="24"/>
          <w:lang w:eastAsia="en-VG"/>
        </w:rPr>
        <w:t>Tofa</w:t>
      </w:r>
      <w:proofErr w:type="spellEnd"/>
      <w:r w:rsidRPr="00650BB2">
        <w:rPr>
          <w:rFonts w:asciiTheme="majorBidi" w:eastAsia="Times New Roman" w:hAnsiTheme="majorBidi" w:cstheme="majorBidi"/>
          <w:sz w:val="24"/>
          <w:szCs w:val="24"/>
          <w:lang w:eastAsia="en-VG"/>
        </w:rPr>
        <w:t xml:space="preserve"> Local Government Area, Kano State? </w:t>
      </w:r>
    </w:p>
    <w:p w14:paraId="6B00AB08" w14:textId="77777777" w:rsidR="0059581B" w:rsidRPr="00650BB2" w:rsidRDefault="0059581B" w:rsidP="007A035A">
      <w:pPr>
        <w:pStyle w:val="ListParagraph"/>
        <w:numPr>
          <w:ilvl w:val="0"/>
          <w:numId w:val="10"/>
        </w:numPr>
        <w:spacing w:after="0" w:line="480" w:lineRule="auto"/>
        <w:jc w:val="both"/>
        <w:rPr>
          <w:rFonts w:asciiTheme="majorBidi" w:eastAsia="Times New Roman" w:hAnsiTheme="majorBidi" w:cstheme="majorBidi"/>
          <w:sz w:val="24"/>
          <w:szCs w:val="24"/>
          <w:lang w:eastAsia="en-VG"/>
        </w:rPr>
      </w:pPr>
      <w:r w:rsidRPr="00650BB2">
        <w:rPr>
          <w:rFonts w:asciiTheme="majorBidi" w:eastAsia="Times New Roman" w:hAnsiTheme="majorBidi" w:cstheme="majorBidi"/>
          <w:sz w:val="24"/>
          <w:szCs w:val="24"/>
          <w:lang w:eastAsia="en-VG"/>
        </w:rPr>
        <w:t xml:space="preserve">What is the level of community health practices among residents of Doka and </w:t>
      </w:r>
      <w:proofErr w:type="spellStart"/>
      <w:r w:rsidRPr="00650BB2">
        <w:rPr>
          <w:rFonts w:asciiTheme="majorBidi" w:eastAsia="Times New Roman" w:hAnsiTheme="majorBidi" w:cstheme="majorBidi"/>
          <w:sz w:val="24"/>
          <w:szCs w:val="24"/>
          <w:lang w:eastAsia="en-VG"/>
        </w:rPr>
        <w:t>Kadana</w:t>
      </w:r>
      <w:proofErr w:type="spellEnd"/>
      <w:r w:rsidRPr="00650BB2">
        <w:rPr>
          <w:rFonts w:asciiTheme="majorBidi" w:eastAsia="Times New Roman" w:hAnsiTheme="majorBidi" w:cstheme="majorBidi"/>
          <w:sz w:val="24"/>
          <w:szCs w:val="24"/>
          <w:lang w:eastAsia="en-VG"/>
        </w:rPr>
        <w:t xml:space="preserve"> communities? </w:t>
      </w:r>
    </w:p>
    <w:p w14:paraId="038CDC7C" w14:textId="77777777" w:rsidR="0059581B" w:rsidRPr="00650BB2" w:rsidRDefault="0059581B" w:rsidP="007A035A">
      <w:pPr>
        <w:pStyle w:val="ListParagraph"/>
        <w:numPr>
          <w:ilvl w:val="0"/>
          <w:numId w:val="10"/>
        </w:numPr>
        <w:spacing w:after="0" w:line="480" w:lineRule="auto"/>
        <w:jc w:val="both"/>
        <w:rPr>
          <w:rFonts w:asciiTheme="majorBidi" w:eastAsia="Times New Roman" w:hAnsiTheme="majorBidi" w:cstheme="majorBidi"/>
          <w:sz w:val="24"/>
          <w:szCs w:val="24"/>
          <w:lang w:eastAsia="en-VG"/>
        </w:rPr>
      </w:pPr>
      <w:r w:rsidRPr="00650BB2">
        <w:rPr>
          <w:rFonts w:asciiTheme="majorBidi" w:eastAsia="Times New Roman" w:hAnsiTheme="majorBidi" w:cstheme="majorBidi"/>
          <w:sz w:val="24"/>
          <w:szCs w:val="24"/>
          <w:lang w:eastAsia="en-VG"/>
        </w:rPr>
        <w:lastRenderedPageBreak/>
        <w:t xml:space="preserve">What is the level of utilization of community health services among residents of Doka and </w:t>
      </w:r>
      <w:proofErr w:type="spellStart"/>
      <w:r w:rsidRPr="00650BB2">
        <w:rPr>
          <w:rFonts w:asciiTheme="majorBidi" w:eastAsia="Times New Roman" w:hAnsiTheme="majorBidi" w:cstheme="majorBidi"/>
          <w:sz w:val="24"/>
          <w:szCs w:val="24"/>
          <w:lang w:eastAsia="en-VG"/>
        </w:rPr>
        <w:t>Kadana</w:t>
      </w:r>
      <w:proofErr w:type="spellEnd"/>
      <w:r w:rsidRPr="00650BB2">
        <w:rPr>
          <w:rFonts w:asciiTheme="majorBidi" w:eastAsia="Times New Roman" w:hAnsiTheme="majorBidi" w:cstheme="majorBidi"/>
          <w:sz w:val="24"/>
          <w:szCs w:val="24"/>
          <w:lang w:eastAsia="en-VG"/>
        </w:rPr>
        <w:t xml:space="preserve"> communities? </w:t>
      </w:r>
    </w:p>
    <w:p w14:paraId="0E05F51C" w14:textId="121D27CF" w:rsidR="00343D88" w:rsidRPr="007A035A" w:rsidRDefault="0059581B" w:rsidP="007A035A">
      <w:pPr>
        <w:pStyle w:val="ListParagraph"/>
        <w:numPr>
          <w:ilvl w:val="0"/>
          <w:numId w:val="10"/>
        </w:numPr>
        <w:spacing w:after="0" w:line="480" w:lineRule="auto"/>
        <w:jc w:val="both"/>
        <w:rPr>
          <w:rFonts w:asciiTheme="majorBidi" w:eastAsia="Times New Roman" w:hAnsiTheme="majorBidi" w:cstheme="majorBidi"/>
          <w:sz w:val="24"/>
          <w:szCs w:val="24"/>
          <w:lang w:eastAsia="en-VG"/>
        </w:rPr>
      </w:pPr>
      <w:r w:rsidRPr="00650BB2">
        <w:rPr>
          <w:rFonts w:asciiTheme="majorBidi" w:hAnsiTheme="majorBidi" w:cstheme="majorBidi"/>
          <w:sz w:val="24"/>
          <w:szCs w:val="24"/>
        </w:rPr>
        <w:t xml:space="preserve">What is the perceived influence of health workforce availability on community health practices in Doka and </w:t>
      </w:r>
      <w:proofErr w:type="spellStart"/>
      <w:r w:rsidRPr="00650BB2">
        <w:rPr>
          <w:rFonts w:asciiTheme="majorBidi" w:hAnsiTheme="majorBidi" w:cstheme="majorBidi"/>
          <w:sz w:val="24"/>
          <w:szCs w:val="24"/>
        </w:rPr>
        <w:t>Kadana</w:t>
      </w:r>
      <w:proofErr w:type="spellEnd"/>
      <w:r w:rsidRPr="00650BB2">
        <w:rPr>
          <w:rFonts w:asciiTheme="majorBidi" w:hAnsiTheme="majorBidi" w:cstheme="majorBidi"/>
          <w:sz w:val="24"/>
          <w:szCs w:val="24"/>
        </w:rPr>
        <w:t xml:space="preserve"> communities?</w:t>
      </w:r>
    </w:p>
    <w:p w14:paraId="4C2068C0" w14:textId="4DF341EF" w:rsidR="0002698C" w:rsidRPr="007A035A" w:rsidRDefault="0002698C" w:rsidP="007A035A">
      <w:pPr>
        <w:spacing w:after="0" w:line="480" w:lineRule="auto"/>
        <w:jc w:val="both"/>
        <w:rPr>
          <w:rFonts w:asciiTheme="majorBidi" w:hAnsiTheme="majorBidi" w:cstheme="majorBidi"/>
          <w:sz w:val="24"/>
          <w:szCs w:val="24"/>
        </w:rPr>
      </w:pPr>
    </w:p>
    <w:p w14:paraId="08355335" w14:textId="00C5C285" w:rsidR="0059581B" w:rsidRPr="007A035A" w:rsidRDefault="0059581B" w:rsidP="007A035A">
      <w:pPr>
        <w:spacing w:after="0" w:line="480" w:lineRule="auto"/>
        <w:jc w:val="both"/>
        <w:rPr>
          <w:rFonts w:asciiTheme="majorBidi" w:hAnsiTheme="majorBidi" w:cstheme="majorBidi"/>
          <w:sz w:val="24"/>
          <w:szCs w:val="24"/>
        </w:rPr>
      </w:pPr>
    </w:p>
    <w:p w14:paraId="3DC40683" w14:textId="243AB126" w:rsidR="0059581B" w:rsidRPr="007A035A" w:rsidRDefault="0059581B" w:rsidP="007A035A">
      <w:pPr>
        <w:spacing w:after="0" w:line="480" w:lineRule="auto"/>
        <w:jc w:val="both"/>
        <w:rPr>
          <w:rFonts w:asciiTheme="majorBidi" w:hAnsiTheme="majorBidi" w:cstheme="majorBidi"/>
          <w:sz w:val="24"/>
          <w:szCs w:val="24"/>
        </w:rPr>
      </w:pPr>
    </w:p>
    <w:p w14:paraId="7AAAD0C6" w14:textId="06183132" w:rsidR="0059581B" w:rsidRPr="007A035A" w:rsidRDefault="0059581B" w:rsidP="007A035A">
      <w:pPr>
        <w:spacing w:after="0" w:line="480" w:lineRule="auto"/>
        <w:jc w:val="both"/>
        <w:rPr>
          <w:rFonts w:asciiTheme="majorBidi" w:hAnsiTheme="majorBidi" w:cstheme="majorBidi"/>
          <w:sz w:val="24"/>
          <w:szCs w:val="24"/>
        </w:rPr>
      </w:pPr>
    </w:p>
    <w:p w14:paraId="6305446C" w14:textId="54E5822B" w:rsidR="0059581B" w:rsidRPr="007A035A" w:rsidRDefault="0059581B" w:rsidP="007A035A">
      <w:pPr>
        <w:spacing w:after="0" w:line="480" w:lineRule="auto"/>
        <w:jc w:val="both"/>
        <w:rPr>
          <w:rFonts w:asciiTheme="majorBidi" w:hAnsiTheme="majorBidi" w:cstheme="majorBidi"/>
          <w:sz w:val="24"/>
          <w:szCs w:val="24"/>
        </w:rPr>
      </w:pPr>
    </w:p>
    <w:p w14:paraId="03BF96EC" w14:textId="680D9367" w:rsidR="0059581B" w:rsidRPr="007A035A" w:rsidRDefault="0059581B" w:rsidP="007A035A">
      <w:pPr>
        <w:spacing w:after="0" w:line="480" w:lineRule="auto"/>
        <w:jc w:val="both"/>
        <w:rPr>
          <w:rFonts w:asciiTheme="majorBidi" w:hAnsiTheme="majorBidi" w:cstheme="majorBidi"/>
          <w:sz w:val="24"/>
          <w:szCs w:val="24"/>
        </w:rPr>
      </w:pPr>
    </w:p>
    <w:p w14:paraId="6BDCD50B" w14:textId="77777777" w:rsidR="0059581B" w:rsidRPr="007A035A" w:rsidRDefault="0059581B" w:rsidP="007A035A">
      <w:pPr>
        <w:spacing w:after="0" w:line="480" w:lineRule="auto"/>
        <w:jc w:val="both"/>
        <w:rPr>
          <w:rFonts w:asciiTheme="majorBidi" w:hAnsiTheme="majorBidi" w:cstheme="majorBidi"/>
          <w:sz w:val="24"/>
          <w:szCs w:val="24"/>
        </w:rPr>
      </w:pPr>
    </w:p>
    <w:p w14:paraId="692408FA" w14:textId="26795968" w:rsidR="0059581B" w:rsidRPr="007A035A" w:rsidRDefault="0059581B" w:rsidP="007A035A">
      <w:pPr>
        <w:spacing w:after="0" w:line="480" w:lineRule="auto"/>
        <w:jc w:val="both"/>
        <w:rPr>
          <w:rFonts w:asciiTheme="majorBidi" w:hAnsiTheme="majorBidi" w:cstheme="majorBidi"/>
          <w:sz w:val="24"/>
          <w:szCs w:val="24"/>
        </w:rPr>
      </w:pPr>
    </w:p>
    <w:p w14:paraId="1867A48E" w14:textId="04358FB9" w:rsidR="0059581B" w:rsidRPr="007A035A" w:rsidRDefault="007A035A" w:rsidP="007A035A">
      <w:pPr>
        <w:spacing w:after="0" w:line="480" w:lineRule="auto"/>
        <w:jc w:val="both"/>
        <w:rPr>
          <w:rFonts w:asciiTheme="majorBidi" w:hAnsiTheme="majorBidi" w:cstheme="majorBidi"/>
          <w:b/>
          <w:bCs/>
          <w:sz w:val="24"/>
          <w:szCs w:val="24"/>
          <w:lang w:val="en-US"/>
        </w:rPr>
      </w:pPr>
      <w:r w:rsidRPr="007A035A">
        <w:rPr>
          <w:rFonts w:asciiTheme="majorBidi" w:hAnsiTheme="majorBidi" w:cstheme="majorBidi"/>
          <w:b/>
          <w:bCs/>
          <w:sz w:val="24"/>
          <w:szCs w:val="24"/>
          <w:lang w:val="en-US"/>
        </w:rPr>
        <w:t>2.3 Theoretical Framework</w:t>
      </w:r>
    </w:p>
    <w:p w14:paraId="6010E877" w14:textId="19B8F1B8" w:rsidR="008E7412" w:rsidRPr="007A035A" w:rsidRDefault="007A035A" w:rsidP="007A035A">
      <w:pPr>
        <w:pStyle w:val="Heading3"/>
        <w:spacing w:before="0" w:line="480" w:lineRule="auto"/>
        <w:jc w:val="both"/>
        <w:rPr>
          <w:rFonts w:asciiTheme="majorBidi" w:hAnsiTheme="majorBidi"/>
          <w:b/>
          <w:bCs/>
          <w:color w:val="auto"/>
        </w:rPr>
      </w:pPr>
      <w:r w:rsidRPr="007A035A">
        <w:rPr>
          <w:rStyle w:val="Strong"/>
          <w:rFonts w:asciiTheme="majorBidi" w:hAnsiTheme="majorBidi"/>
          <w:color w:val="auto"/>
          <w:lang w:val="en-US"/>
        </w:rPr>
        <w:t xml:space="preserve">2.3.1 </w:t>
      </w:r>
      <w:r w:rsidR="008E7412" w:rsidRPr="007A035A">
        <w:rPr>
          <w:rStyle w:val="Strong"/>
          <w:rFonts w:asciiTheme="majorBidi" w:hAnsiTheme="majorBidi"/>
          <w:color w:val="auto"/>
        </w:rPr>
        <w:t>Primary Health Care (PHC) Theory (Alma-Ata Declaration, 1978)</w:t>
      </w:r>
    </w:p>
    <w:p w14:paraId="03B31917"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Primary Health Care (PHC) Theory emerged from the Alma-Ata International Conference on Primary Health Care held in Alma-Ata (now Almaty, Kazakhstan) in September 1978. The conference was jointly organized by the World Health Organization (WHO) and the United Nations Children’s Fund (UNICEF) in response to the growing inequalities in health service delivery across developed and developing countries. The outcome of the conference was the Alma-Ata Declaration, which established Primary Health Care as the key strategy for attaining the global goal of “Health for All.” The declaration emphasized that health is a fundamental human right and that governments have a responsibility to ensure that all citizens have access to essential health </w:t>
      </w:r>
      <w:r w:rsidRPr="007A035A">
        <w:rPr>
          <w:rFonts w:asciiTheme="majorBidi" w:hAnsiTheme="majorBidi" w:cstheme="majorBidi"/>
        </w:rPr>
        <w:lastRenderedPageBreak/>
        <w:t>services regardless of their social, economic, or geographical circumstances (World Health Organization [WHO], 1978).</w:t>
      </w:r>
    </w:p>
    <w:p w14:paraId="08D64480"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The theory defines Primary Health Care as essential health care that is scientifically sound, socially acceptable, universally accessible, and made available to individuals and families through their full participation at a cost that the community and country can afford. PHC serves as the first level of contact between individuals and the health system and is intended to bring health services as close as possible to where people live and work (WHO, 1978). The approach shifted global attention from hospital-</w:t>
      </w:r>
      <w:proofErr w:type="spellStart"/>
      <w:r w:rsidRPr="007A035A">
        <w:rPr>
          <w:rFonts w:asciiTheme="majorBidi" w:hAnsiTheme="majorBidi" w:cstheme="majorBidi"/>
        </w:rPr>
        <w:t>centered</w:t>
      </w:r>
      <w:proofErr w:type="spellEnd"/>
      <w:r w:rsidRPr="007A035A">
        <w:rPr>
          <w:rFonts w:asciiTheme="majorBidi" w:hAnsiTheme="majorBidi" w:cstheme="majorBidi"/>
        </w:rPr>
        <w:t xml:space="preserve"> and curative services to preventive, promotive, rehabilitative, and community-based health services. It recognizes that health improvement cannot be achieved solely through medical treatment but requires community involvement, preventive interventions, and equitable access to health resources.</w:t>
      </w:r>
    </w:p>
    <w:p w14:paraId="1F0E9E5F"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The theory is founded on several core principles, including equitable distribution of health services, community participation, intersectoral collaboration, appropriate technology, accessibility, affordability, and the availability of competent health personnel. Equitable distribution emphasizes that health services should be fairly distributed among all members of society, especially rural and underserved populations. Before the emergence of PHC, health facilities and health personnel were often concentrated in urban areas, leaving rural communities with inadequate access to healthcare services. The PHC approach therefore advocates for a more balanced allocation of health resources to ensure that every community has access to essential health services regardless of location or socio-economic status (WHO &amp; UNICEF, 1978).</w:t>
      </w:r>
    </w:p>
    <w:p w14:paraId="0EDE5B03"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Community participation is another fundamental principle of the theory. The PHC approach recognizes that individuals and communities are not merely recipients of health services but active participants in identifying their health needs, planning interventions, implementing programmes, </w:t>
      </w:r>
      <w:r w:rsidRPr="007A035A">
        <w:rPr>
          <w:rFonts w:asciiTheme="majorBidi" w:hAnsiTheme="majorBidi" w:cstheme="majorBidi"/>
        </w:rPr>
        <w:lastRenderedPageBreak/>
        <w:t>and evaluating outcomes. Community participation promotes ownership of health programmes, increases acceptability of interventions, enhances sustainability, and improves overall health outcomes. Through community involvement, health programmes become more responsive to local needs and cultural realities, thereby increasing their effectiveness and acceptance among community members (Rifkin, 2014).</w:t>
      </w:r>
    </w:p>
    <w:p w14:paraId="035633EC"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The theory further emphasizes intersectoral collaboration as an essential requirement for improving community health. According to the PHC framework, health outcomes are influenced by several social, economic, and environmental factors such as education, nutrition, housing, sanitation, agriculture, employment, and access to clean water. Consequently, achieving optimal health requires coordinated efforts among different sectors and stakeholders rather than relying solely on the health sector. This approach recognizes that many health problems originate from broader social determinants of health and therefore require multi-sectoral interventions (WHO, 2024).</w:t>
      </w:r>
    </w:p>
    <w:p w14:paraId="1D129032"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Another important component of the PHC Theory is the use of appropriate technology. Appropriate technology refers to health technologies, methods, and interventions that are scientifically valid, affordable, culturally acceptable, and adaptable to local conditions. The theory discourages excessive dependence on expensive and sophisticated medical technologies that may not be accessible or sustainable in low-resource settings. Instead, it promotes practical and cost-effective interventions capable of addressing the most pressing health needs of the population. Examples include immunization programmes, oral rehydration therapy, growth monitoring, health education, and environmental sanitation measures (WHO, 1978).</w:t>
      </w:r>
    </w:p>
    <w:p w14:paraId="6C328F20"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One of the most significant assumptions of the PHC Theory is the central role of health personnel in healthcare delivery. The theory recognizes that effective implementation of Primary Health Care </w:t>
      </w:r>
      <w:r w:rsidRPr="007A035A">
        <w:rPr>
          <w:rFonts w:asciiTheme="majorBidi" w:hAnsiTheme="majorBidi" w:cstheme="majorBidi"/>
        </w:rPr>
        <w:lastRenderedPageBreak/>
        <w:t>depends largely on the availability of trained, competent, and motivated health workers. Community health workers, nurses, midwives, environmental health officers, health educators, and other frontline personnel serve as the foundation of PHC implementation. These health workers are responsible for delivering preventive, promotive, curative, and rehabilitative services within communities. Their responsibilities include health education, disease prevention, immunization, maternal and child healthcare, nutrition counselling, sanitation promotion, family planning services, and community mobilization. Therefore, the adequacy or inadequacy of health workforce directly influences the quality, accessibility, and effectiveness of community health services (World Health Organization, 2023).</w:t>
      </w:r>
    </w:p>
    <w:p w14:paraId="6AA9AAF8"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The PHC Theory also identifies essential elements necessary for improving community health. These elements include health education concerning prevailing health problems and methods of prevention and control; promotion of food supply and proper nutrition; adequate supply of safe water and basic sanitation; maternal and child healthcare, including family planning; immunization against major infectious diseases; prevention and control of locally endemic diseases; treatment of common diseases and injuries; and provision of essential medicines. These elements collectively aim to improve the health status of communities through preventive and promotive measures rather than relying primarily on hospital-based curative care (WHO, 1978).</w:t>
      </w:r>
    </w:p>
    <w:p w14:paraId="0A10DF1D"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relevance of the PHC Theory has continued to grow in modern health systems. The World Health Organization consistently identifies Primary Health Care as the foundation for achieving Universal Health Coverage (UHC), Sustainable Development Goal 3 (Good Health and Well-being), and resilient health systems. Contemporary global health policies emphasize strengthening primary healthcare services, increasing community participation, expanding access to essential healthcare, and addressing shortages of healthcare workers, particularly in rural and underserved </w:t>
      </w:r>
      <w:r w:rsidRPr="007A035A">
        <w:rPr>
          <w:rFonts w:asciiTheme="majorBidi" w:hAnsiTheme="majorBidi" w:cstheme="majorBidi"/>
        </w:rPr>
        <w:lastRenderedPageBreak/>
        <w:t>communities (WHO, 2024). The theory therefore remains one of the most influential frameworks guiding community health programmes, health education interventions, and healthcare delivery systems worldwide.</w:t>
      </w:r>
    </w:p>
    <w:p w14:paraId="444C080B" w14:textId="77777777" w:rsidR="008E7412" w:rsidRPr="007A035A" w:rsidRDefault="008E7412" w:rsidP="007A035A">
      <w:pPr>
        <w:pStyle w:val="Heading3"/>
        <w:spacing w:before="0" w:line="480" w:lineRule="auto"/>
        <w:jc w:val="both"/>
        <w:rPr>
          <w:rFonts w:asciiTheme="majorBidi" w:hAnsiTheme="majorBidi"/>
          <w:color w:val="auto"/>
        </w:rPr>
      </w:pPr>
      <w:r w:rsidRPr="007A035A">
        <w:rPr>
          <w:rStyle w:val="Strong"/>
          <w:rFonts w:asciiTheme="majorBidi" w:hAnsiTheme="majorBidi"/>
          <w:b w:val="0"/>
          <w:bCs w:val="0"/>
          <w:color w:val="auto"/>
        </w:rPr>
        <w:t>Relevance of the Theory to the Current Study</w:t>
      </w:r>
    </w:p>
    <w:p w14:paraId="33DD63CA" w14:textId="0BCCA895"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Primary Health Care (PHC) Theory is highly relevant to the present study titled </w:t>
      </w:r>
      <w:r w:rsidRPr="007A035A">
        <w:rPr>
          <w:rStyle w:val="Emphasis"/>
          <w:rFonts w:asciiTheme="majorBidi" w:hAnsiTheme="majorBidi" w:cstheme="majorBidi"/>
        </w:rPr>
        <w:t xml:space="preserve">“A Comparative Study of Community Health Practice in Communities with Adequate and Limited Health Workforce: A Case Study of Doka and </w:t>
      </w:r>
      <w:proofErr w:type="spellStart"/>
      <w:r w:rsidRPr="007A035A">
        <w:rPr>
          <w:rStyle w:val="Emphasis"/>
          <w:rFonts w:asciiTheme="majorBidi" w:hAnsiTheme="majorBidi" w:cstheme="majorBidi"/>
        </w:rPr>
        <w:t>Kadana</w:t>
      </w:r>
      <w:proofErr w:type="spellEnd"/>
      <w:r w:rsidRPr="007A035A">
        <w:rPr>
          <w:rStyle w:val="Emphasis"/>
          <w:rFonts w:asciiTheme="majorBidi" w:hAnsiTheme="majorBidi" w:cstheme="majorBidi"/>
        </w:rPr>
        <w:t xml:space="preserve"> Communities in </w:t>
      </w:r>
      <w:proofErr w:type="spellStart"/>
      <w:r w:rsidRPr="007A035A">
        <w:rPr>
          <w:rStyle w:val="Emphasis"/>
          <w:rFonts w:asciiTheme="majorBidi" w:hAnsiTheme="majorBidi" w:cstheme="majorBidi"/>
        </w:rPr>
        <w:t>Tofa</w:t>
      </w:r>
      <w:proofErr w:type="spellEnd"/>
      <w:r w:rsidRPr="007A035A">
        <w:rPr>
          <w:rStyle w:val="Emphasis"/>
          <w:rFonts w:asciiTheme="majorBidi" w:hAnsiTheme="majorBidi" w:cstheme="majorBidi"/>
        </w:rPr>
        <w:t xml:space="preserve"> Local Government Area, Kano State, Nigeria.”</w:t>
      </w:r>
      <w:r w:rsidRPr="007A035A">
        <w:rPr>
          <w:rFonts w:asciiTheme="majorBidi" w:hAnsiTheme="majorBidi" w:cstheme="majorBidi"/>
        </w:rPr>
        <w:t xml:space="preserve"> The theory provides a suitable framework for understanding how the availability of health personnel influences the effectiveness of community health practices. Since PHC emphasizes equitable distribution of health services, accessibility of healthcare, community participation, disease prevention, health promotion, and the availability of trained health workers, it directly aligns with the major variables of the study. The theory assumes that communities with adequate health workforce are more likely to experience effective implementation of community health programmes, better health education activities, improved disease prevention services, and greater access to essential healthcare than communities with limited health workforce. Therefore, the theory offers a strong conceptual basis for comparing community health practices between Doka Community, where health workforce is relatively adequate, and </w:t>
      </w:r>
      <w:proofErr w:type="spellStart"/>
      <w:r w:rsidRPr="007A035A">
        <w:rPr>
          <w:rFonts w:asciiTheme="majorBidi" w:hAnsiTheme="majorBidi" w:cstheme="majorBidi"/>
        </w:rPr>
        <w:t>Kadana</w:t>
      </w:r>
      <w:proofErr w:type="spellEnd"/>
      <w:r w:rsidRPr="007A035A">
        <w:rPr>
          <w:rFonts w:asciiTheme="majorBidi" w:hAnsiTheme="majorBidi" w:cstheme="majorBidi"/>
        </w:rPr>
        <w:t xml:space="preserve"> Community, where health workforce is limited. It also helps explain how differences in workforce availability may influence the quality and effectiveness of community health service delivery in the two communities (WHO, 1978; WHO, 2023).</w:t>
      </w:r>
    </w:p>
    <w:p w14:paraId="28D834B2" w14:textId="422EA686" w:rsidR="008E7412" w:rsidRPr="007A035A" w:rsidRDefault="007A035A" w:rsidP="007A035A">
      <w:pPr>
        <w:pStyle w:val="Heading2"/>
        <w:spacing w:before="0" w:beforeAutospacing="0" w:after="0" w:afterAutospacing="0" w:line="480" w:lineRule="auto"/>
        <w:jc w:val="both"/>
        <w:rPr>
          <w:rFonts w:asciiTheme="majorBidi" w:hAnsiTheme="majorBidi" w:cstheme="majorBidi"/>
          <w:sz w:val="24"/>
          <w:szCs w:val="24"/>
        </w:rPr>
      </w:pPr>
      <w:r w:rsidRPr="007A035A">
        <w:rPr>
          <w:rStyle w:val="Strong"/>
          <w:rFonts w:asciiTheme="majorBidi" w:hAnsiTheme="majorBidi" w:cstheme="majorBidi"/>
          <w:b/>
          <w:bCs/>
          <w:sz w:val="24"/>
          <w:szCs w:val="24"/>
          <w:lang w:val="en-US"/>
        </w:rPr>
        <w:t>2.3.2</w:t>
      </w:r>
      <w:r>
        <w:rPr>
          <w:rStyle w:val="Strong"/>
          <w:rFonts w:asciiTheme="majorBidi" w:hAnsiTheme="majorBidi" w:cstheme="majorBidi"/>
          <w:b/>
          <w:bCs/>
          <w:sz w:val="24"/>
          <w:szCs w:val="24"/>
          <w:lang w:val="en-US"/>
        </w:rPr>
        <w:t xml:space="preserve"> </w:t>
      </w:r>
      <w:r w:rsidR="008E7412" w:rsidRPr="007A035A">
        <w:rPr>
          <w:rStyle w:val="Strong"/>
          <w:rFonts w:asciiTheme="majorBidi" w:hAnsiTheme="majorBidi" w:cstheme="majorBidi"/>
          <w:b/>
          <w:bCs/>
          <w:sz w:val="24"/>
          <w:szCs w:val="24"/>
        </w:rPr>
        <w:t>Health Systems Theory (WHO Health Systems Framework, 2007)</w:t>
      </w:r>
    </w:p>
    <w:p w14:paraId="096A68B5"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Health Systems Theory, commonly referred to as the World Health Organization (WHO) Health Systems Framework, was developed by the World Health Organization in 2007 to provide </w:t>
      </w:r>
      <w:r w:rsidRPr="007A035A">
        <w:rPr>
          <w:rFonts w:asciiTheme="majorBidi" w:hAnsiTheme="majorBidi" w:cstheme="majorBidi"/>
        </w:rPr>
        <w:lastRenderedPageBreak/>
        <w:t xml:space="preserve">a comprehensive framework for understanding how health systems function and how they can be strengthened to improve population health outcomes. The framework was introduced in the WHO publication </w:t>
      </w:r>
      <w:r w:rsidRPr="007A035A">
        <w:rPr>
          <w:rStyle w:val="Emphasis"/>
          <w:rFonts w:asciiTheme="majorBidi" w:hAnsiTheme="majorBidi" w:cstheme="majorBidi"/>
        </w:rPr>
        <w:t>Everybody’s Business: Strengthening Health Systems to Improve Health Outcomes</w:t>
      </w:r>
      <w:r w:rsidRPr="007A035A">
        <w:rPr>
          <w:rFonts w:asciiTheme="majorBidi" w:hAnsiTheme="majorBidi" w:cstheme="majorBidi"/>
        </w:rPr>
        <w:t>, which emphasized that the effectiveness of healthcare delivery depends on the interaction of several interrelated components within the health system (WHO, 2007).</w:t>
      </w:r>
    </w:p>
    <w:p w14:paraId="523FABA3"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The theory emerged from the recognition that many countries, particularly low- and middle-income countries, were experiencing persistent challenges in healthcare delivery due to inadequate resources, poor infrastructure, weak governance, insufficient financing, and shortages of qualified health personnel. These challenges negatively affected access to healthcare services and ultimately compromised health outcomes. Consequently, the WHO developed the Health Systems Framework as a guide for policymakers, health planners, and researchers in understanding and improving health system performance (WHO, 2007).</w:t>
      </w:r>
    </w:p>
    <w:p w14:paraId="6FA87BC8"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According to the theory, a health system comprises all organizations, institutions, resources, and individuals whose primary purpose is to improve health. It includes public and private healthcare providers, healthcare workers, health facilities, health policies, financing mechanisms, medicines, medical technologies, information systems, and governance structures. The framework views the health system as a dynamic and interconnected structure in which the performance of one component affects the effectiveness of the entire system (de Savigny &amp; Adam, 2009).</w:t>
      </w:r>
    </w:p>
    <w:p w14:paraId="2DA19341"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central proposition of the Health Systems Theory is that the achievement of improved health outcomes depends on the effective functioning and interaction of six key building blocks. These building blocks include service delivery, health workforce, health information systems, access to essential medicines and technologies, health financing, and leadership/governance. According to the WHO, the strength or weakness of any of these components directly influences the overall </w:t>
      </w:r>
      <w:r w:rsidRPr="007A035A">
        <w:rPr>
          <w:rFonts w:asciiTheme="majorBidi" w:hAnsiTheme="majorBidi" w:cstheme="majorBidi"/>
        </w:rPr>
        <w:lastRenderedPageBreak/>
        <w:t>performance of the health system and the quality of healthcare services delivered to the population (WHO, 2007).</w:t>
      </w:r>
    </w:p>
    <w:p w14:paraId="2A9AF829"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first building block, </w:t>
      </w:r>
      <w:r w:rsidRPr="007A035A">
        <w:rPr>
          <w:rStyle w:val="Strong"/>
          <w:rFonts w:asciiTheme="majorBidi" w:hAnsiTheme="majorBidi" w:cstheme="majorBidi"/>
          <w:b w:val="0"/>
          <w:bCs w:val="0"/>
        </w:rPr>
        <w:t>service delivery</w:t>
      </w:r>
      <w:r w:rsidRPr="007A035A">
        <w:rPr>
          <w:rFonts w:asciiTheme="majorBidi" w:hAnsiTheme="majorBidi" w:cstheme="majorBidi"/>
        </w:rPr>
        <w:t>, refers to the provision of effective, safe, quality, and accessible healthcare services to individuals and communities. The theory emphasizes that health services should be available when needed, responsive to the needs of the population, and delivered in a manner that maximizes health outcomes. Effective service delivery requires adequate infrastructure, competent health personnel, appropriate medical supplies, and efficient management systems. Communities with well-functioning health services are more likely to experience improved health outcomes than those with limited access to quality healthcare (WHO, 2007).</w:t>
      </w:r>
    </w:p>
    <w:p w14:paraId="162F04AE"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second and perhaps most relevant building block to the present study is the </w:t>
      </w:r>
      <w:r w:rsidRPr="007A035A">
        <w:rPr>
          <w:rStyle w:val="Strong"/>
          <w:rFonts w:asciiTheme="majorBidi" w:hAnsiTheme="majorBidi" w:cstheme="majorBidi"/>
          <w:b w:val="0"/>
          <w:bCs w:val="0"/>
        </w:rPr>
        <w:t>health workforce</w:t>
      </w:r>
      <w:r w:rsidRPr="007A035A">
        <w:rPr>
          <w:rFonts w:asciiTheme="majorBidi" w:hAnsiTheme="majorBidi" w:cstheme="majorBidi"/>
        </w:rPr>
        <w:t>. The theory identifies health workers as the backbone of every health system. Health workers include physicians, nurses, midwives, community health officers, community health extension workers, environmental health officers, laboratory personnel, pharmacists, and other health professionals involved in healthcare delivery. According to the WHO (2023), a well-performing health workforce is one that is available in sufficient numbers, equitably distributed, competent, motivated, and responsive to the health needs of the population. The availability of an adequate health workforce is critical for ensuring access to healthcare services, promoting health education, preventing diseases, and implementing community health programmes.</w:t>
      </w:r>
    </w:p>
    <w:p w14:paraId="24D33B23"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theory further argues that shortages in health workforce can severely affect healthcare delivery and population health outcomes. In many developing countries, including Nigeria, rural communities often experience inadequate numbers of health personnel, resulting in limited access to healthcare services, poor health education coverage, reduced immunization rates, inadequate </w:t>
      </w:r>
      <w:r w:rsidRPr="007A035A">
        <w:rPr>
          <w:rFonts w:asciiTheme="majorBidi" w:hAnsiTheme="majorBidi" w:cstheme="majorBidi"/>
        </w:rPr>
        <w:lastRenderedPageBreak/>
        <w:t>maternal and child health services, and poor disease surveillance systems (Campbell et al., 2013). Consequently, communities with limited health workforce may struggle to implement effective community health practices compared to communities with adequate workforce availability.</w:t>
      </w:r>
    </w:p>
    <w:p w14:paraId="569082D5"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third building block is the </w:t>
      </w:r>
      <w:r w:rsidRPr="007A035A">
        <w:rPr>
          <w:rStyle w:val="Strong"/>
          <w:rFonts w:asciiTheme="majorBidi" w:hAnsiTheme="majorBidi" w:cstheme="majorBidi"/>
          <w:b w:val="0"/>
          <w:bCs w:val="0"/>
        </w:rPr>
        <w:t>health information system</w:t>
      </w:r>
      <w:r w:rsidRPr="007A035A">
        <w:rPr>
          <w:rFonts w:asciiTheme="majorBidi" w:hAnsiTheme="majorBidi" w:cstheme="majorBidi"/>
        </w:rPr>
        <w:t>. This component involves the collection, analysis, dissemination, and utilization of health data for planning, implementation, monitoring, and evaluation of healthcare services. The theory maintains that reliable health information is essential for evidence-based decision-making and effective health system management. Health information systems help identify community health needs, monitor disease patterns, evaluate programme effectiveness, and guide resource allocation (WHO, 2007).</w:t>
      </w:r>
    </w:p>
    <w:p w14:paraId="00F80C69"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Another important component of the framework is </w:t>
      </w:r>
      <w:r w:rsidRPr="007A035A">
        <w:rPr>
          <w:rStyle w:val="Strong"/>
          <w:rFonts w:asciiTheme="majorBidi" w:hAnsiTheme="majorBidi" w:cstheme="majorBidi"/>
          <w:b w:val="0"/>
          <w:bCs w:val="0"/>
        </w:rPr>
        <w:t>access to essential medicines and technologies</w:t>
      </w:r>
      <w:r w:rsidRPr="007A035A">
        <w:rPr>
          <w:rFonts w:asciiTheme="majorBidi" w:hAnsiTheme="majorBidi" w:cstheme="majorBidi"/>
        </w:rPr>
        <w:t>. The theory emphasizes that healthcare services cannot function effectively without the availability of safe, effective, quality, and affordable medicines and medical technologies. The availability of essential medicines contributes significantly to disease prevention, treatment, and management. Communities lacking access to medicines and health technologies often experience poorer health outcomes and lower healthcare utilization rates (WHO, 2007).</w:t>
      </w:r>
    </w:p>
    <w:p w14:paraId="4700C241"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fifth building block is </w:t>
      </w:r>
      <w:r w:rsidRPr="007A035A">
        <w:rPr>
          <w:rStyle w:val="Strong"/>
          <w:rFonts w:asciiTheme="majorBidi" w:hAnsiTheme="majorBidi" w:cstheme="majorBidi"/>
          <w:b w:val="0"/>
          <w:bCs w:val="0"/>
        </w:rPr>
        <w:t>health financing</w:t>
      </w:r>
      <w:r w:rsidRPr="007A035A">
        <w:rPr>
          <w:rFonts w:asciiTheme="majorBidi" w:hAnsiTheme="majorBidi" w:cstheme="majorBidi"/>
        </w:rPr>
        <w:t xml:space="preserve">, which refers to the mobilization, allocation, and utilization of financial resources for healthcare delivery. Adequate financing ensures that health facilities are properly staffed, equipped, and maintained. It also facilitates the recruitment, training, and retention of health workers. The theory suggests that inadequate financing often contributes to shortages of healthcare personnel, poor infrastructure, and </w:t>
      </w:r>
      <w:proofErr w:type="gramStart"/>
      <w:r w:rsidRPr="007A035A">
        <w:rPr>
          <w:rFonts w:asciiTheme="majorBidi" w:hAnsiTheme="majorBidi" w:cstheme="majorBidi"/>
        </w:rPr>
        <w:t>limited service</w:t>
      </w:r>
      <w:proofErr w:type="gramEnd"/>
      <w:r w:rsidRPr="007A035A">
        <w:rPr>
          <w:rFonts w:asciiTheme="majorBidi" w:hAnsiTheme="majorBidi" w:cstheme="majorBidi"/>
        </w:rPr>
        <w:t xml:space="preserve"> availability, particularly in rural and underserved communities (</w:t>
      </w:r>
      <w:proofErr w:type="spellStart"/>
      <w:r w:rsidRPr="007A035A">
        <w:rPr>
          <w:rFonts w:asciiTheme="majorBidi" w:hAnsiTheme="majorBidi" w:cstheme="majorBidi"/>
        </w:rPr>
        <w:t>Kutzin</w:t>
      </w:r>
      <w:proofErr w:type="spellEnd"/>
      <w:r w:rsidRPr="007A035A">
        <w:rPr>
          <w:rFonts w:asciiTheme="majorBidi" w:hAnsiTheme="majorBidi" w:cstheme="majorBidi"/>
        </w:rPr>
        <w:t>, 2013).</w:t>
      </w:r>
    </w:p>
    <w:p w14:paraId="0329149B"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final building block is </w:t>
      </w:r>
      <w:r w:rsidRPr="007A035A">
        <w:rPr>
          <w:rStyle w:val="Strong"/>
          <w:rFonts w:asciiTheme="majorBidi" w:hAnsiTheme="majorBidi" w:cstheme="majorBidi"/>
          <w:b w:val="0"/>
          <w:bCs w:val="0"/>
        </w:rPr>
        <w:t>leadership and governance</w:t>
      </w:r>
      <w:r w:rsidRPr="007A035A">
        <w:rPr>
          <w:rFonts w:asciiTheme="majorBidi" w:hAnsiTheme="majorBidi" w:cstheme="majorBidi"/>
        </w:rPr>
        <w:t xml:space="preserve">. Governance involves the development and implementation of health policies, regulations, strategic plans, and accountability mechanisms that </w:t>
      </w:r>
      <w:r w:rsidRPr="007A035A">
        <w:rPr>
          <w:rFonts w:asciiTheme="majorBidi" w:hAnsiTheme="majorBidi" w:cstheme="majorBidi"/>
        </w:rPr>
        <w:lastRenderedPageBreak/>
        <w:t>guide health system operations. Effective leadership ensures that resources are utilized efficiently, health programmes are properly coordinated, and healthcare services are delivered equitably. Strong governance structures are therefore essential for achieving health system goals and improving population health outcomes (WHO, 2007).</w:t>
      </w:r>
    </w:p>
    <w:p w14:paraId="5A0826D8"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One of the major strengths of the Health Systems Theory is its systems-thinking perspective. Unlike theories that focus solely on individual behaviour, the framework recognizes that health outcomes result from the interaction of multiple components within the health system. This holistic perspective allows researchers and policymakers to examine structural factors that influence healthcare delivery and community health outcomes. The theory has therefore been widely applied in health services research, health policy analysis, healthcare workforce planning, and programme evaluation across different countries and healthcare settings (de Savigny &amp; Adam, 2009).</w:t>
      </w:r>
    </w:p>
    <w:p w14:paraId="05C71094"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The Health Systems Theory has gained increasing importance in recent years due to the global shortage of health workers. The World Health Organization estimates that the world continues to face significant shortages of healthcare personnel, particularly in low- and middle-income countries. These shortages have implications for healthcare accessibility, service quality, and the achievement of Universal Health Coverage (UHC). Consequently, strengthening the health workforce has become a major priority in global health policy and health system reforms (WHO, 2023).</w:t>
      </w:r>
    </w:p>
    <w:p w14:paraId="40D3BBA8" w14:textId="77777777" w:rsidR="008E7412" w:rsidRPr="007A035A" w:rsidRDefault="008E7412" w:rsidP="007A035A">
      <w:pPr>
        <w:pStyle w:val="Heading3"/>
        <w:spacing w:before="0" w:line="480" w:lineRule="auto"/>
        <w:jc w:val="both"/>
        <w:rPr>
          <w:rFonts w:asciiTheme="majorBidi" w:hAnsiTheme="majorBidi"/>
          <w:color w:val="auto"/>
        </w:rPr>
      </w:pPr>
      <w:r w:rsidRPr="007A035A">
        <w:rPr>
          <w:rStyle w:val="Strong"/>
          <w:rFonts w:asciiTheme="majorBidi" w:hAnsiTheme="majorBidi"/>
          <w:color w:val="auto"/>
        </w:rPr>
        <w:t>Relevance of the Theory to the Current Study</w:t>
      </w:r>
    </w:p>
    <w:p w14:paraId="15D2F739"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The Health Systems Theory is highly relevant to the present study titled </w:t>
      </w:r>
      <w:r w:rsidRPr="007A035A">
        <w:rPr>
          <w:rStyle w:val="Emphasis"/>
          <w:rFonts w:asciiTheme="majorBidi" w:hAnsiTheme="majorBidi" w:cstheme="majorBidi"/>
        </w:rPr>
        <w:t xml:space="preserve">“A Comparative Study of Community Health Practice in Communities with Adequate and Limited Health Workforce: A Case Study of Doka and </w:t>
      </w:r>
      <w:proofErr w:type="spellStart"/>
      <w:r w:rsidRPr="007A035A">
        <w:rPr>
          <w:rStyle w:val="Emphasis"/>
          <w:rFonts w:asciiTheme="majorBidi" w:hAnsiTheme="majorBidi" w:cstheme="majorBidi"/>
        </w:rPr>
        <w:t>Kadana</w:t>
      </w:r>
      <w:proofErr w:type="spellEnd"/>
      <w:r w:rsidRPr="007A035A">
        <w:rPr>
          <w:rStyle w:val="Emphasis"/>
          <w:rFonts w:asciiTheme="majorBidi" w:hAnsiTheme="majorBidi" w:cstheme="majorBidi"/>
        </w:rPr>
        <w:t xml:space="preserve"> Communities in </w:t>
      </w:r>
      <w:proofErr w:type="spellStart"/>
      <w:r w:rsidRPr="007A035A">
        <w:rPr>
          <w:rStyle w:val="Emphasis"/>
          <w:rFonts w:asciiTheme="majorBidi" w:hAnsiTheme="majorBidi" w:cstheme="majorBidi"/>
        </w:rPr>
        <w:t>Tofa</w:t>
      </w:r>
      <w:proofErr w:type="spellEnd"/>
      <w:r w:rsidRPr="007A035A">
        <w:rPr>
          <w:rStyle w:val="Emphasis"/>
          <w:rFonts w:asciiTheme="majorBidi" w:hAnsiTheme="majorBidi" w:cstheme="majorBidi"/>
        </w:rPr>
        <w:t xml:space="preserve"> Local Government Area, Kano State, Nigeria.”</w:t>
      </w:r>
      <w:r w:rsidRPr="007A035A">
        <w:rPr>
          <w:rFonts w:asciiTheme="majorBidi" w:hAnsiTheme="majorBidi" w:cstheme="majorBidi"/>
        </w:rPr>
        <w:t xml:space="preserve"> The theory provides a suitable framework for understanding how variations in health workforce </w:t>
      </w:r>
      <w:r w:rsidRPr="007A035A">
        <w:rPr>
          <w:rFonts w:asciiTheme="majorBidi" w:hAnsiTheme="majorBidi" w:cstheme="majorBidi"/>
        </w:rPr>
        <w:lastRenderedPageBreak/>
        <w:t xml:space="preserve">availability influence community health practices. Among the six building blocks of the WHO Health Systems Framework, the health workforce component directly corresponds to the major independent variable of the study. The theory posits that the availability, distribution, and competency of health workers significantly affect the quality, accessibility, and effectiveness of healthcare services. Consequently, communities with adequate health workforce are expected to exhibit stronger community health practices, improved health education activities, better disease prevention programmes, and greater access to essential healthcare services than communities with limited health workforce. The framework therefore provides a logical basis for comparing community health practices between Doka and </w:t>
      </w:r>
      <w:proofErr w:type="spellStart"/>
      <w:r w:rsidRPr="007A035A">
        <w:rPr>
          <w:rFonts w:asciiTheme="majorBidi" w:hAnsiTheme="majorBidi" w:cstheme="majorBidi"/>
        </w:rPr>
        <w:t>Kadana</w:t>
      </w:r>
      <w:proofErr w:type="spellEnd"/>
      <w:r w:rsidRPr="007A035A">
        <w:rPr>
          <w:rFonts w:asciiTheme="majorBidi" w:hAnsiTheme="majorBidi" w:cstheme="majorBidi"/>
        </w:rPr>
        <w:t xml:space="preserve"> communities and for explaining any observed differences in healthcare delivery and health-related activities between the two communities.</w:t>
      </w:r>
    </w:p>
    <w:p w14:paraId="4629FA3B"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p>
    <w:p w14:paraId="4551ADFF" w14:textId="4B74428D"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Campbell, J., </w:t>
      </w:r>
      <w:proofErr w:type="spellStart"/>
      <w:r w:rsidRPr="007A035A">
        <w:rPr>
          <w:rFonts w:asciiTheme="majorBidi" w:hAnsiTheme="majorBidi" w:cstheme="majorBidi"/>
        </w:rPr>
        <w:t>Dussault</w:t>
      </w:r>
      <w:proofErr w:type="spellEnd"/>
      <w:r w:rsidRPr="007A035A">
        <w:rPr>
          <w:rFonts w:asciiTheme="majorBidi" w:hAnsiTheme="majorBidi" w:cstheme="majorBidi"/>
        </w:rPr>
        <w:t xml:space="preserve">, G., Buchan, J., </w:t>
      </w:r>
      <w:proofErr w:type="spellStart"/>
      <w:r w:rsidRPr="007A035A">
        <w:rPr>
          <w:rFonts w:asciiTheme="majorBidi" w:hAnsiTheme="majorBidi" w:cstheme="majorBidi"/>
        </w:rPr>
        <w:t>Pozo</w:t>
      </w:r>
      <w:proofErr w:type="spellEnd"/>
      <w:r w:rsidRPr="007A035A">
        <w:rPr>
          <w:rFonts w:asciiTheme="majorBidi" w:hAnsiTheme="majorBidi" w:cstheme="majorBidi"/>
        </w:rPr>
        <w:t xml:space="preserve">-Martin, F., Guerra Arias, M., Leone, C., </w:t>
      </w:r>
      <w:proofErr w:type="spellStart"/>
      <w:r w:rsidRPr="007A035A">
        <w:rPr>
          <w:rFonts w:asciiTheme="majorBidi" w:hAnsiTheme="majorBidi" w:cstheme="majorBidi"/>
        </w:rPr>
        <w:t>Siyam</w:t>
      </w:r>
      <w:proofErr w:type="spellEnd"/>
      <w:r w:rsidRPr="007A035A">
        <w:rPr>
          <w:rFonts w:asciiTheme="majorBidi" w:hAnsiTheme="majorBidi" w:cstheme="majorBidi"/>
        </w:rPr>
        <w:t xml:space="preserve">, A., &amp; </w:t>
      </w:r>
      <w:proofErr w:type="spellStart"/>
      <w:r w:rsidRPr="007A035A">
        <w:rPr>
          <w:rFonts w:asciiTheme="majorBidi" w:hAnsiTheme="majorBidi" w:cstheme="majorBidi"/>
        </w:rPr>
        <w:t>Cometto</w:t>
      </w:r>
      <w:proofErr w:type="spellEnd"/>
      <w:r w:rsidRPr="007A035A">
        <w:rPr>
          <w:rFonts w:asciiTheme="majorBidi" w:hAnsiTheme="majorBidi" w:cstheme="majorBidi"/>
        </w:rPr>
        <w:t xml:space="preserve">, G. (2013). </w:t>
      </w:r>
      <w:r w:rsidRPr="007A035A">
        <w:rPr>
          <w:rStyle w:val="Emphasis"/>
          <w:rFonts w:asciiTheme="majorBidi" w:hAnsiTheme="majorBidi" w:cstheme="majorBidi"/>
        </w:rPr>
        <w:t>A universal truth: No health without a workforce</w:t>
      </w:r>
      <w:r w:rsidRPr="007A035A">
        <w:rPr>
          <w:rFonts w:asciiTheme="majorBidi" w:hAnsiTheme="majorBidi" w:cstheme="majorBidi"/>
        </w:rPr>
        <w:t>. Global Health Workforce Alliance and World Health Organization.</w:t>
      </w:r>
    </w:p>
    <w:p w14:paraId="698CE49A"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de Savigny, D., &amp; Adam, T. (Eds.). (2009). </w:t>
      </w:r>
      <w:r w:rsidRPr="007A035A">
        <w:rPr>
          <w:rStyle w:val="Emphasis"/>
          <w:rFonts w:asciiTheme="majorBidi" w:hAnsiTheme="majorBidi" w:cstheme="majorBidi"/>
        </w:rPr>
        <w:t>Systems thinking for health systems strengthening</w:t>
      </w:r>
      <w:r w:rsidRPr="007A035A">
        <w:rPr>
          <w:rFonts w:asciiTheme="majorBidi" w:hAnsiTheme="majorBidi" w:cstheme="majorBidi"/>
        </w:rPr>
        <w:t>. World Health Organization.</w:t>
      </w:r>
    </w:p>
    <w:p w14:paraId="5D2AE766"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proofErr w:type="spellStart"/>
      <w:r w:rsidRPr="007A035A">
        <w:rPr>
          <w:rFonts w:asciiTheme="majorBidi" w:hAnsiTheme="majorBidi" w:cstheme="majorBidi"/>
        </w:rPr>
        <w:t>Kutzin</w:t>
      </w:r>
      <w:proofErr w:type="spellEnd"/>
      <w:r w:rsidRPr="007A035A">
        <w:rPr>
          <w:rFonts w:asciiTheme="majorBidi" w:hAnsiTheme="majorBidi" w:cstheme="majorBidi"/>
        </w:rPr>
        <w:t xml:space="preserve">, J. (2013). Health financing for universal coverage and health system performance: Concepts and implications for policy. </w:t>
      </w:r>
      <w:r w:rsidRPr="007A035A">
        <w:rPr>
          <w:rStyle w:val="Emphasis"/>
          <w:rFonts w:asciiTheme="majorBidi" w:hAnsiTheme="majorBidi" w:cstheme="majorBidi"/>
        </w:rPr>
        <w:t>Bulletin of the World Health Organization, 91</w:t>
      </w:r>
      <w:r w:rsidRPr="007A035A">
        <w:rPr>
          <w:rFonts w:asciiTheme="majorBidi" w:hAnsiTheme="majorBidi" w:cstheme="majorBidi"/>
        </w:rPr>
        <w:t>(8), 602–611.</w:t>
      </w:r>
    </w:p>
    <w:p w14:paraId="51FC0CC5"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World Health Organization. (2007). </w:t>
      </w:r>
      <w:r w:rsidRPr="007A035A">
        <w:rPr>
          <w:rStyle w:val="Emphasis"/>
          <w:rFonts w:asciiTheme="majorBidi" w:hAnsiTheme="majorBidi" w:cstheme="majorBidi"/>
        </w:rPr>
        <w:t>Everybody's business: Strengthening health systems to improve health outcomes—WHO’s framework for action</w:t>
      </w:r>
      <w:r w:rsidRPr="007A035A">
        <w:rPr>
          <w:rFonts w:asciiTheme="majorBidi" w:hAnsiTheme="majorBidi" w:cstheme="majorBidi"/>
        </w:rPr>
        <w:t>. World Health Organization.</w:t>
      </w:r>
    </w:p>
    <w:p w14:paraId="4D82BDCD"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World Health Organization. (2023). </w:t>
      </w:r>
      <w:r w:rsidRPr="007A035A">
        <w:rPr>
          <w:rStyle w:val="Emphasis"/>
          <w:rFonts w:asciiTheme="majorBidi" w:hAnsiTheme="majorBidi" w:cstheme="majorBidi"/>
        </w:rPr>
        <w:t>Health workforce</w:t>
      </w:r>
      <w:r w:rsidRPr="007A035A">
        <w:rPr>
          <w:rFonts w:asciiTheme="majorBidi" w:hAnsiTheme="majorBidi" w:cstheme="majorBidi"/>
        </w:rPr>
        <w:t>. World Health Organization.</w:t>
      </w:r>
    </w:p>
    <w:p w14:paraId="6823BBCD"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lastRenderedPageBreak/>
        <w:t xml:space="preserve">Rifkin, S. B. (2014). Examining the links between community participation and health outcomes: A review of the literature. </w:t>
      </w:r>
      <w:r w:rsidRPr="007A035A">
        <w:rPr>
          <w:rStyle w:val="Emphasis"/>
          <w:rFonts w:asciiTheme="majorBidi" w:hAnsiTheme="majorBidi" w:cstheme="majorBidi"/>
        </w:rPr>
        <w:t>Health Policy and Planning, 29</w:t>
      </w:r>
      <w:r w:rsidRPr="007A035A">
        <w:rPr>
          <w:rFonts w:asciiTheme="majorBidi" w:hAnsiTheme="majorBidi" w:cstheme="majorBidi"/>
        </w:rPr>
        <w:t>(Suppl. 2), ii98–ii106.</w:t>
      </w:r>
    </w:p>
    <w:p w14:paraId="3DE887D5"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World Health Organization. (1978). </w:t>
      </w:r>
      <w:r w:rsidRPr="007A035A">
        <w:rPr>
          <w:rStyle w:val="Emphasis"/>
          <w:rFonts w:asciiTheme="majorBidi" w:hAnsiTheme="majorBidi" w:cstheme="majorBidi"/>
        </w:rPr>
        <w:t>Declaration of Alma-Ata: International Conference on Primary Health Care, Alma-Ata, USSR, 6–12 September 1978</w:t>
      </w:r>
      <w:r w:rsidRPr="007A035A">
        <w:rPr>
          <w:rFonts w:asciiTheme="majorBidi" w:hAnsiTheme="majorBidi" w:cstheme="majorBidi"/>
        </w:rPr>
        <w:t xml:space="preserve">. </w:t>
      </w:r>
      <w:proofErr w:type="gramStart"/>
      <w:r w:rsidRPr="007A035A">
        <w:rPr>
          <w:rFonts w:asciiTheme="majorBidi" w:hAnsiTheme="majorBidi" w:cstheme="majorBidi"/>
        </w:rPr>
        <w:t>WHO.</w:t>
      </w:r>
      <w:proofErr w:type="gramEnd"/>
    </w:p>
    <w:p w14:paraId="1CAFC07C"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World Health Organization. (2023). </w:t>
      </w:r>
      <w:r w:rsidRPr="007A035A">
        <w:rPr>
          <w:rStyle w:val="Emphasis"/>
          <w:rFonts w:asciiTheme="majorBidi" w:hAnsiTheme="majorBidi" w:cstheme="majorBidi"/>
        </w:rPr>
        <w:t>Health workforce</w:t>
      </w:r>
      <w:r w:rsidRPr="007A035A">
        <w:rPr>
          <w:rFonts w:asciiTheme="majorBidi" w:hAnsiTheme="majorBidi" w:cstheme="majorBidi"/>
        </w:rPr>
        <w:t>. World Health Organization.</w:t>
      </w:r>
    </w:p>
    <w:p w14:paraId="1D78212D"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World Health Organization. (2024). </w:t>
      </w:r>
      <w:r w:rsidRPr="007A035A">
        <w:rPr>
          <w:rStyle w:val="Emphasis"/>
          <w:rFonts w:asciiTheme="majorBidi" w:hAnsiTheme="majorBidi" w:cstheme="majorBidi"/>
        </w:rPr>
        <w:t>Primary health care</w:t>
      </w:r>
      <w:r w:rsidRPr="007A035A">
        <w:rPr>
          <w:rFonts w:asciiTheme="majorBidi" w:hAnsiTheme="majorBidi" w:cstheme="majorBidi"/>
        </w:rPr>
        <w:t>. World Health Organization.</w:t>
      </w:r>
    </w:p>
    <w:p w14:paraId="249D83CE" w14:textId="77777777" w:rsidR="008E7412" w:rsidRPr="007A035A" w:rsidRDefault="008E7412" w:rsidP="007A035A">
      <w:pPr>
        <w:pStyle w:val="NormalWeb"/>
        <w:spacing w:before="0" w:beforeAutospacing="0" w:after="0" w:afterAutospacing="0" w:line="480" w:lineRule="auto"/>
        <w:jc w:val="both"/>
        <w:rPr>
          <w:rFonts w:asciiTheme="majorBidi" w:hAnsiTheme="majorBidi" w:cstheme="majorBidi"/>
        </w:rPr>
      </w:pPr>
      <w:r w:rsidRPr="007A035A">
        <w:rPr>
          <w:rFonts w:asciiTheme="majorBidi" w:hAnsiTheme="majorBidi" w:cstheme="majorBidi"/>
        </w:rPr>
        <w:t xml:space="preserve">World Health Organization, &amp; United Nations Children's Fund. (1978). </w:t>
      </w:r>
      <w:r w:rsidRPr="007A035A">
        <w:rPr>
          <w:rStyle w:val="Emphasis"/>
          <w:rFonts w:asciiTheme="majorBidi" w:hAnsiTheme="majorBidi" w:cstheme="majorBidi"/>
        </w:rPr>
        <w:t>Primary health care: Report of the International Conference on Primary Health Care, Alma-Ata, USSR</w:t>
      </w:r>
      <w:r w:rsidRPr="007A035A">
        <w:rPr>
          <w:rFonts w:asciiTheme="majorBidi" w:hAnsiTheme="majorBidi" w:cstheme="majorBidi"/>
        </w:rPr>
        <w:t>. WHO/UNICEF.</w:t>
      </w:r>
    </w:p>
    <w:p w14:paraId="09ED9215" w14:textId="77777777" w:rsidR="008E7412" w:rsidRPr="007A035A" w:rsidRDefault="008E7412" w:rsidP="007A035A">
      <w:pPr>
        <w:spacing w:after="0" w:line="480" w:lineRule="auto"/>
        <w:jc w:val="both"/>
        <w:rPr>
          <w:rFonts w:asciiTheme="majorBidi" w:hAnsiTheme="majorBidi" w:cstheme="majorBidi"/>
          <w:sz w:val="24"/>
          <w:szCs w:val="24"/>
        </w:rPr>
      </w:pPr>
    </w:p>
    <w:sectPr w:rsidR="008E7412" w:rsidRPr="007A035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123C"/>
    <w:multiLevelType w:val="multilevel"/>
    <w:tmpl w:val="7CDA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64EC5"/>
    <w:multiLevelType w:val="multilevel"/>
    <w:tmpl w:val="3BB4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CA61CF"/>
    <w:multiLevelType w:val="multilevel"/>
    <w:tmpl w:val="089EF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4C4691"/>
    <w:multiLevelType w:val="multilevel"/>
    <w:tmpl w:val="EF1A6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6C0CF9"/>
    <w:multiLevelType w:val="hybridMultilevel"/>
    <w:tmpl w:val="CA501DA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48B87B22"/>
    <w:multiLevelType w:val="hybridMultilevel"/>
    <w:tmpl w:val="3A2C1680"/>
    <w:lvl w:ilvl="0" w:tplc="8A4AD942">
      <w:start w:val="1"/>
      <w:numFmt w:val="decimal"/>
      <w:lvlText w:val="%1."/>
      <w:lvlJc w:val="left"/>
      <w:pPr>
        <w:ind w:left="720" w:hanging="360"/>
      </w:pPr>
      <w:rPr>
        <w:rFonts w:hAnsi="Symbol"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6146039F"/>
    <w:multiLevelType w:val="multilevel"/>
    <w:tmpl w:val="43D6E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A00AD5"/>
    <w:multiLevelType w:val="multilevel"/>
    <w:tmpl w:val="9FB8F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7805B3"/>
    <w:multiLevelType w:val="multilevel"/>
    <w:tmpl w:val="B794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92563F"/>
    <w:multiLevelType w:val="multilevel"/>
    <w:tmpl w:val="DB88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1A2BEE"/>
    <w:multiLevelType w:val="multilevel"/>
    <w:tmpl w:val="E64A2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914BCD"/>
    <w:multiLevelType w:val="multilevel"/>
    <w:tmpl w:val="5BE84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4"/>
  </w:num>
  <w:num w:numId="4">
    <w:abstractNumId w:val="0"/>
  </w:num>
  <w:num w:numId="5">
    <w:abstractNumId w:val="9"/>
  </w:num>
  <w:num w:numId="6">
    <w:abstractNumId w:val="11"/>
  </w:num>
  <w:num w:numId="7">
    <w:abstractNumId w:val="2"/>
  </w:num>
  <w:num w:numId="8">
    <w:abstractNumId w:val="10"/>
  </w:num>
  <w:num w:numId="9">
    <w:abstractNumId w:val="3"/>
  </w:num>
  <w:num w:numId="10">
    <w:abstractNumId w:val="5"/>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98C"/>
    <w:rsid w:val="0002698C"/>
    <w:rsid w:val="000D0FFA"/>
    <w:rsid w:val="00343D88"/>
    <w:rsid w:val="0059581B"/>
    <w:rsid w:val="00650BB2"/>
    <w:rsid w:val="007A035A"/>
    <w:rsid w:val="00812F9F"/>
    <w:rsid w:val="008E7412"/>
  </w:rsids>
  <m:mathPr>
    <m:mathFont m:val="Cambria Math"/>
    <m:brkBin m:val="before"/>
    <m:brkBinSub m:val="--"/>
    <m:smallFrac m:val="0"/>
    <m:dispDef/>
    <m:lMargin m:val="0"/>
    <m:rMargin m:val="0"/>
    <m:defJc m:val="centerGroup"/>
    <m:wrapIndent m:val="1440"/>
    <m:intLim m:val="subSup"/>
    <m:naryLim m:val="undOvr"/>
  </m:mathPr>
  <w:themeFontLang w:val="en-V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E4B0D"/>
  <w15:chartTrackingRefBased/>
  <w15:docId w15:val="{301D1287-2169-4088-8067-E6A2100BB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V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2698C"/>
    <w:pPr>
      <w:spacing w:before="100" w:beforeAutospacing="1" w:after="100" w:afterAutospacing="1" w:line="240" w:lineRule="auto"/>
      <w:outlineLvl w:val="1"/>
    </w:pPr>
    <w:rPr>
      <w:rFonts w:ascii="Times New Roman" w:eastAsia="Times New Roman" w:hAnsi="Times New Roman" w:cs="Times New Roman"/>
      <w:b/>
      <w:bCs/>
      <w:sz w:val="36"/>
      <w:szCs w:val="36"/>
      <w:lang w:eastAsia="en-VG"/>
    </w:rPr>
  </w:style>
  <w:style w:type="paragraph" w:styleId="Heading3">
    <w:name w:val="heading 3"/>
    <w:basedOn w:val="Normal"/>
    <w:next w:val="Normal"/>
    <w:link w:val="Heading3Char"/>
    <w:uiPriority w:val="9"/>
    <w:semiHidden/>
    <w:unhideWhenUsed/>
    <w:qFormat/>
    <w:rsid w:val="008E74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43D8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2698C"/>
    <w:rPr>
      <w:color w:val="0000FF"/>
      <w:u w:val="single"/>
    </w:rPr>
  </w:style>
  <w:style w:type="paragraph" w:styleId="NormalWeb">
    <w:name w:val="Normal (Web)"/>
    <w:basedOn w:val="Normal"/>
    <w:uiPriority w:val="99"/>
    <w:unhideWhenUsed/>
    <w:rsid w:val="0002698C"/>
    <w:pPr>
      <w:spacing w:before="100" w:beforeAutospacing="1" w:after="100" w:afterAutospacing="1" w:line="240" w:lineRule="auto"/>
    </w:pPr>
    <w:rPr>
      <w:rFonts w:ascii="Times New Roman" w:eastAsia="Times New Roman" w:hAnsi="Times New Roman" w:cs="Times New Roman"/>
      <w:sz w:val="24"/>
      <w:szCs w:val="24"/>
      <w:lang w:eastAsia="en-VG"/>
    </w:rPr>
  </w:style>
  <w:style w:type="character" w:styleId="Strong">
    <w:name w:val="Strong"/>
    <w:basedOn w:val="DefaultParagraphFont"/>
    <w:uiPriority w:val="22"/>
    <w:qFormat/>
    <w:rsid w:val="0002698C"/>
    <w:rPr>
      <w:b/>
      <w:bCs/>
    </w:rPr>
  </w:style>
  <w:style w:type="paragraph" w:styleId="ListParagraph">
    <w:name w:val="List Paragraph"/>
    <w:basedOn w:val="Normal"/>
    <w:uiPriority w:val="34"/>
    <w:qFormat/>
    <w:rsid w:val="0002698C"/>
    <w:pPr>
      <w:ind w:left="720"/>
      <w:contextualSpacing/>
    </w:pPr>
  </w:style>
  <w:style w:type="character" w:customStyle="1" w:styleId="Heading2Char">
    <w:name w:val="Heading 2 Char"/>
    <w:basedOn w:val="DefaultParagraphFont"/>
    <w:link w:val="Heading2"/>
    <w:uiPriority w:val="9"/>
    <w:rsid w:val="0002698C"/>
    <w:rPr>
      <w:rFonts w:ascii="Times New Roman" w:eastAsia="Times New Roman" w:hAnsi="Times New Roman" w:cs="Times New Roman"/>
      <w:b/>
      <w:bCs/>
      <w:sz w:val="36"/>
      <w:szCs w:val="36"/>
      <w:lang w:eastAsia="en-VG"/>
    </w:rPr>
  </w:style>
  <w:style w:type="character" w:customStyle="1" w:styleId="Heading3Char">
    <w:name w:val="Heading 3 Char"/>
    <w:basedOn w:val="DefaultParagraphFont"/>
    <w:link w:val="Heading3"/>
    <w:uiPriority w:val="9"/>
    <w:semiHidden/>
    <w:rsid w:val="008E7412"/>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8E7412"/>
    <w:rPr>
      <w:i/>
      <w:iCs/>
    </w:rPr>
  </w:style>
  <w:style w:type="character" w:customStyle="1" w:styleId="Heading4Char">
    <w:name w:val="Heading 4 Char"/>
    <w:basedOn w:val="DefaultParagraphFont"/>
    <w:link w:val="Heading4"/>
    <w:uiPriority w:val="9"/>
    <w:semiHidden/>
    <w:rsid w:val="00343D88"/>
    <w:rPr>
      <w:rFonts w:asciiTheme="majorHAnsi" w:eastAsiaTheme="majorEastAsia" w:hAnsiTheme="majorHAnsi" w:cstheme="majorBidi"/>
      <w:i/>
      <w:iCs/>
      <w:color w:val="2F5496" w:themeColor="accent1" w:themeShade="BF"/>
    </w:rPr>
  </w:style>
  <w:style w:type="paragraph" w:customStyle="1" w:styleId="isselectedend">
    <w:name w:val="isselectedend"/>
    <w:basedOn w:val="Normal"/>
    <w:rsid w:val="0059581B"/>
    <w:pPr>
      <w:spacing w:before="100" w:beforeAutospacing="1" w:after="100" w:afterAutospacing="1" w:line="240" w:lineRule="auto"/>
    </w:pPr>
    <w:rPr>
      <w:rFonts w:ascii="Times New Roman" w:eastAsia="Times New Roman" w:hAnsi="Times New Roman" w:cs="Times New Roman"/>
      <w:sz w:val="24"/>
      <w:szCs w:val="24"/>
      <w:lang w:eastAsia="en-VG"/>
    </w:rPr>
  </w:style>
  <w:style w:type="table" w:styleId="TableGrid">
    <w:name w:val="Table Grid"/>
    <w:basedOn w:val="TableNormal"/>
    <w:uiPriority w:val="39"/>
    <w:rsid w:val="00595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6183">
      <w:bodyDiv w:val="1"/>
      <w:marLeft w:val="0"/>
      <w:marRight w:val="0"/>
      <w:marTop w:val="0"/>
      <w:marBottom w:val="0"/>
      <w:divBdr>
        <w:top w:val="none" w:sz="0" w:space="0" w:color="auto"/>
        <w:left w:val="none" w:sz="0" w:space="0" w:color="auto"/>
        <w:bottom w:val="none" w:sz="0" w:space="0" w:color="auto"/>
        <w:right w:val="none" w:sz="0" w:space="0" w:color="auto"/>
      </w:divBdr>
    </w:div>
    <w:div w:id="302389434">
      <w:bodyDiv w:val="1"/>
      <w:marLeft w:val="0"/>
      <w:marRight w:val="0"/>
      <w:marTop w:val="0"/>
      <w:marBottom w:val="0"/>
      <w:divBdr>
        <w:top w:val="none" w:sz="0" w:space="0" w:color="auto"/>
        <w:left w:val="none" w:sz="0" w:space="0" w:color="auto"/>
        <w:bottom w:val="none" w:sz="0" w:space="0" w:color="auto"/>
        <w:right w:val="none" w:sz="0" w:space="0" w:color="auto"/>
      </w:divBdr>
    </w:div>
    <w:div w:id="397749765">
      <w:bodyDiv w:val="1"/>
      <w:marLeft w:val="0"/>
      <w:marRight w:val="0"/>
      <w:marTop w:val="0"/>
      <w:marBottom w:val="0"/>
      <w:divBdr>
        <w:top w:val="none" w:sz="0" w:space="0" w:color="auto"/>
        <w:left w:val="none" w:sz="0" w:space="0" w:color="auto"/>
        <w:bottom w:val="none" w:sz="0" w:space="0" w:color="auto"/>
        <w:right w:val="none" w:sz="0" w:space="0" w:color="auto"/>
      </w:divBdr>
    </w:div>
    <w:div w:id="420370299">
      <w:bodyDiv w:val="1"/>
      <w:marLeft w:val="0"/>
      <w:marRight w:val="0"/>
      <w:marTop w:val="0"/>
      <w:marBottom w:val="0"/>
      <w:divBdr>
        <w:top w:val="none" w:sz="0" w:space="0" w:color="auto"/>
        <w:left w:val="none" w:sz="0" w:space="0" w:color="auto"/>
        <w:bottom w:val="none" w:sz="0" w:space="0" w:color="auto"/>
        <w:right w:val="none" w:sz="0" w:space="0" w:color="auto"/>
      </w:divBdr>
    </w:div>
    <w:div w:id="532380536">
      <w:bodyDiv w:val="1"/>
      <w:marLeft w:val="0"/>
      <w:marRight w:val="0"/>
      <w:marTop w:val="0"/>
      <w:marBottom w:val="0"/>
      <w:divBdr>
        <w:top w:val="none" w:sz="0" w:space="0" w:color="auto"/>
        <w:left w:val="none" w:sz="0" w:space="0" w:color="auto"/>
        <w:bottom w:val="none" w:sz="0" w:space="0" w:color="auto"/>
        <w:right w:val="none" w:sz="0" w:space="0" w:color="auto"/>
      </w:divBdr>
    </w:div>
    <w:div w:id="652369656">
      <w:bodyDiv w:val="1"/>
      <w:marLeft w:val="0"/>
      <w:marRight w:val="0"/>
      <w:marTop w:val="0"/>
      <w:marBottom w:val="0"/>
      <w:divBdr>
        <w:top w:val="none" w:sz="0" w:space="0" w:color="auto"/>
        <w:left w:val="none" w:sz="0" w:space="0" w:color="auto"/>
        <w:bottom w:val="none" w:sz="0" w:space="0" w:color="auto"/>
        <w:right w:val="none" w:sz="0" w:space="0" w:color="auto"/>
      </w:divBdr>
      <w:divsChild>
        <w:div w:id="1547060870">
          <w:marLeft w:val="0"/>
          <w:marRight w:val="0"/>
          <w:marTop w:val="0"/>
          <w:marBottom w:val="0"/>
          <w:divBdr>
            <w:top w:val="none" w:sz="0" w:space="0" w:color="auto"/>
            <w:left w:val="none" w:sz="0" w:space="0" w:color="auto"/>
            <w:bottom w:val="none" w:sz="0" w:space="0" w:color="auto"/>
            <w:right w:val="none" w:sz="0" w:space="0" w:color="auto"/>
          </w:divBdr>
          <w:divsChild>
            <w:div w:id="1663241703">
              <w:marLeft w:val="0"/>
              <w:marRight w:val="0"/>
              <w:marTop w:val="0"/>
              <w:marBottom w:val="0"/>
              <w:divBdr>
                <w:top w:val="none" w:sz="0" w:space="0" w:color="auto"/>
                <w:left w:val="none" w:sz="0" w:space="0" w:color="auto"/>
                <w:bottom w:val="none" w:sz="0" w:space="0" w:color="auto"/>
                <w:right w:val="none" w:sz="0" w:space="0" w:color="auto"/>
              </w:divBdr>
              <w:divsChild>
                <w:div w:id="469976992">
                  <w:marLeft w:val="0"/>
                  <w:marRight w:val="0"/>
                  <w:marTop w:val="0"/>
                  <w:marBottom w:val="0"/>
                  <w:divBdr>
                    <w:top w:val="none" w:sz="0" w:space="0" w:color="auto"/>
                    <w:left w:val="none" w:sz="0" w:space="0" w:color="auto"/>
                    <w:bottom w:val="none" w:sz="0" w:space="0" w:color="auto"/>
                    <w:right w:val="none" w:sz="0" w:space="0" w:color="auto"/>
                  </w:divBdr>
                  <w:divsChild>
                    <w:div w:id="18825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160973">
      <w:bodyDiv w:val="1"/>
      <w:marLeft w:val="0"/>
      <w:marRight w:val="0"/>
      <w:marTop w:val="0"/>
      <w:marBottom w:val="0"/>
      <w:divBdr>
        <w:top w:val="none" w:sz="0" w:space="0" w:color="auto"/>
        <w:left w:val="none" w:sz="0" w:space="0" w:color="auto"/>
        <w:bottom w:val="none" w:sz="0" w:space="0" w:color="auto"/>
        <w:right w:val="none" w:sz="0" w:space="0" w:color="auto"/>
      </w:divBdr>
    </w:div>
    <w:div w:id="1290892824">
      <w:bodyDiv w:val="1"/>
      <w:marLeft w:val="0"/>
      <w:marRight w:val="0"/>
      <w:marTop w:val="0"/>
      <w:marBottom w:val="0"/>
      <w:divBdr>
        <w:top w:val="none" w:sz="0" w:space="0" w:color="auto"/>
        <w:left w:val="none" w:sz="0" w:space="0" w:color="auto"/>
        <w:bottom w:val="none" w:sz="0" w:space="0" w:color="auto"/>
        <w:right w:val="none" w:sz="0" w:space="0" w:color="auto"/>
      </w:divBdr>
    </w:div>
    <w:div w:id="1569417627">
      <w:bodyDiv w:val="1"/>
      <w:marLeft w:val="0"/>
      <w:marRight w:val="0"/>
      <w:marTop w:val="0"/>
      <w:marBottom w:val="0"/>
      <w:divBdr>
        <w:top w:val="none" w:sz="0" w:space="0" w:color="auto"/>
        <w:left w:val="none" w:sz="0" w:space="0" w:color="auto"/>
        <w:bottom w:val="none" w:sz="0" w:space="0" w:color="auto"/>
        <w:right w:val="none" w:sz="0" w:space="0" w:color="auto"/>
      </w:divBdr>
    </w:div>
    <w:div w:id="1678774370">
      <w:bodyDiv w:val="1"/>
      <w:marLeft w:val="0"/>
      <w:marRight w:val="0"/>
      <w:marTop w:val="0"/>
      <w:marBottom w:val="0"/>
      <w:divBdr>
        <w:top w:val="none" w:sz="0" w:space="0" w:color="auto"/>
        <w:left w:val="none" w:sz="0" w:space="0" w:color="auto"/>
        <w:bottom w:val="none" w:sz="0" w:space="0" w:color="auto"/>
        <w:right w:val="none" w:sz="0" w:space="0" w:color="auto"/>
      </w:divBdr>
    </w:div>
    <w:div w:id="1722092631">
      <w:bodyDiv w:val="1"/>
      <w:marLeft w:val="0"/>
      <w:marRight w:val="0"/>
      <w:marTop w:val="0"/>
      <w:marBottom w:val="0"/>
      <w:divBdr>
        <w:top w:val="none" w:sz="0" w:space="0" w:color="auto"/>
        <w:left w:val="none" w:sz="0" w:space="0" w:color="auto"/>
        <w:bottom w:val="none" w:sz="0" w:space="0" w:color="auto"/>
        <w:right w:val="none" w:sz="0" w:space="0" w:color="auto"/>
      </w:divBdr>
      <w:divsChild>
        <w:div w:id="1725177391">
          <w:blockQuote w:val="1"/>
          <w:marLeft w:val="720"/>
          <w:marRight w:val="720"/>
          <w:marTop w:val="100"/>
          <w:marBottom w:val="100"/>
          <w:divBdr>
            <w:top w:val="none" w:sz="0" w:space="0" w:color="auto"/>
            <w:left w:val="none" w:sz="0" w:space="0" w:color="auto"/>
            <w:bottom w:val="none" w:sz="0" w:space="0" w:color="auto"/>
            <w:right w:val="none" w:sz="0" w:space="0" w:color="auto"/>
          </w:divBdr>
        </w:div>
        <w:div w:id="31426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548418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035009">
      <w:bodyDiv w:val="1"/>
      <w:marLeft w:val="0"/>
      <w:marRight w:val="0"/>
      <w:marTop w:val="0"/>
      <w:marBottom w:val="0"/>
      <w:divBdr>
        <w:top w:val="none" w:sz="0" w:space="0" w:color="auto"/>
        <w:left w:val="none" w:sz="0" w:space="0" w:color="auto"/>
        <w:bottom w:val="none" w:sz="0" w:space="0" w:color="auto"/>
        <w:right w:val="none" w:sz="0" w:space="0" w:color="auto"/>
      </w:divBdr>
    </w:div>
    <w:div w:id="188698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12</Pages>
  <Words>3118</Words>
  <Characters>17773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Mu'azu Garba</dc:creator>
  <cp:keywords/>
  <dc:description/>
  <cp:lastModifiedBy>Mu'azu Garba</cp:lastModifiedBy>
  <cp:revision>1</cp:revision>
  <dcterms:created xsi:type="dcterms:W3CDTF">2026-05-31T20:26:00Z</dcterms:created>
  <dcterms:modified xsi:type="dcterms:W3CDTF">2026-06-03T11:36:00Z</dcterms:modified>
</cp:coreProperties>
</file>